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Complaints and Appeals Procedure</w:t>
      </w:r>
    </w:p>
    <w:p>
      <w:r>
        <w:rPr>
          <w:rFonts w:ascii="Arial" w:hAnsi="Arial"/>
          <w:color w:val="444444"/>
          <w:sz w:val="24"/>
        </w:rPr>
        <w:t>Complaint, appeal, investigation, outcome and service improvement process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Complaints and Appeals Procedure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procedure gives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and other stakeholders a clear route to raise complaints about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, support,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>s, trainers, customer service or booking decisions.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complaints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client complaints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appeals and certificate disputes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conduct complaints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Refund, cancellation and support complaints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Complaints involving safeguarding, discrimination, data protection or serious misconduct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Complaints must be acknowledged, investigated fairly and responded to within a reasonable timeframe.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Appeals about assessment decisions should follow the assessment route first where appropriate.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Safeguarding, data breach, discrimination and whistleblowing concerns must be escalated under the relevant specialist policy.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Complainants must not be treated unfairly for raising a concern in good faith.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Complaints should be used to improve services.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Reputation risk: unresolved complaints harm trust.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Fairness risk: complaint investigator may be involved in the original issue.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Evidence risk: weak records make decisions difficult.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Escalation risk: safeguarding or data matters may be treated as ordinary complaints.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Commercial risk: complaints may link to refunds, chargebacks or contract disputes.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How to complain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Complaints should be submitted by email, website form or another approved route, setting out the issue,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>/booking details, people involved, date, evidence and preferred outcome where known.</w:t>
      </w:r>
    </w:p>
    <w:p>
      <w:pPr>
        <w:pStyle w:val="Heading2"/>
      </w:pPr>
      <w:r>
        <w:t>Acknowledgement and triage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Acknowledge complaints promptly, identify whether it is a complaint,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 xml:space="preserve">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concern, data protection issue, refund request, trainer conduct issue or payment dispute, and assign an appropriate owner.</w:t>
      </w:r>
    </w:p>
    <w:p>
      <w:pPr>
        <w:pStyle w:val="Heading2"/>
      </w:pPr>
      <w:r>
        <w:t>Investigation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Review booking records, communications, attendance, trainer notes, platform logs, assessment records and relevant policies.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Where appropriate, speak to the learner, employer client, trainer or support staff.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Avoid conflicts of interest where possible.</w:t>
      </w:r>
    </w:p>
    <w:p>
      <w:pPr>
        <w:pStyle w:val="Heading2"/>
      </w:pPr>
      <w:r>
        <w:t>Outcome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response should explain what was reviewed, the decision, any remedy, whether the complaint is upheld, partly upheld or not upheld, and any improvement actions. Remedies may include apology, correction,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reissue, re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>, transfer, refund, goodwill or no further action.</w:t>
      </w:r>
    </w:p>
    <w:p>
      <w:pPr>
        <w:pStyle w:val="Heading2"/>
      </w:pPr>
      <w:r>
        <w:t>Escalation or review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Where a complainant is dissatisfied, a senior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representative may review the decision. If an external awarding </w:t>
      </w:r>
      <w:r>
        <w:rPr>
          <w:rFonts w:ascii="Arial" w:hAnsi="Arial"/>
          <w:b/>
          <w:color w:val="444444"/>
          <w:sz w:val="20"/>
        </w:rPr>
        <w:t>organisation</w:t>
      </w:r>
      <w:r>
        <w:rPr>
          <w:rFonts w:ascii="Arial" w:hAnsi="Arial"/>
          <w:color w:val="444444"/>
          <w:sz w:val="20"/>
        </w:rPr>
        <w:t xml:space="preserve"> is involved, its complaints/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>s route may also apply.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Complaint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Acknowledgement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Evidence reviewed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Investigation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Outcome response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Improvement actions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Refund/goodwill approval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Escalation record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Complaint themes, response times, outcomes and improvement actions will be reviewed as part of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quality assurance and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governance reporting.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Complaints and Appeals Procedure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