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Employer and Organisation Training Terms</w:t>
      </w:r>
    </w:p>
    <w:p>
      <w:r>
        <w:rPr>
          <w:rFonts w:ascii="Arial" w:hAnsi="Arial"/>
          <w:color w:val="444444"/>
          <w:sz w:val="24"/>
        </w:rPr>
        <w:t>Terms for employer block bookings, corporate packages and bespoke training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Employer and Organisation Training Terms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sets the terms for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s, care providers, agencies, </w:t>
      </w:r>
      <w:r>
        <w:rPr>
          <w:rFonts w:ascii="Arial" w:hAnsi="Arial"/>
          <w:b/>
          <w:color w:val="444444"/>
          <w:sz w:val="20"/>
        </w:rPr>
        <w:t>organisation</w:t>
      </w:r>
      <w:r>
        <w:rPr>
          <w:rFonts w:ascii="Arial" w:hAnsi="Arial"/>
          <w:color w:val="444444"/>
          <w:sz w:val="20"/>
        </w:rPr>
        <w:t xml:space="preserve">s and corporate clients that purchase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places,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packages, subscriptions or bespoke delivery from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>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block bookings and invoiced training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Care provider mandatory training packages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Bespoke training sessions and group delivery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Employer-nominated learners and manager access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Training records, certificates, attendance reports and invoices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clients must provide accurate learner information, role context, dates, access needs and site requirements.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Training is supplied for the agreed learners, organisation and package only unless otherwise agreed in writing.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Employers remain responsible for assessing staff competence, role suitability, safe practice, supervision and local policy implementation.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Payment terms, cancellation terms, non-attendance charges and certificate conditions must be clear before booking.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Bespoke training must not be used to misrepresent regulatory approval, inspection readiness or staff competence.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Non-payment risk: organisations may book places but delay payment or dispute invoices after delivery.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Operational risk: training may be delivered to wrong learner group or without required equipment/venue arrangements.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Competency risk: employers may treat attendance certificates as full workplace competence.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risk: employer reports may contain personal data and must be shared securely.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Scope risk: clients may request extra content or dates without variation.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Booking confirmation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 booking confirmation or proposal should state course title, delivery format, number of learners, date or access period, fees, payment terms, cancellation terms and any employer responsibilities.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For bespoke delivery, confirm whether ProCare Hub or the employer provides venue, equipment, learner devices, internet access, refreshments, practical materials and risk assessments.</w:t>
      </w:r>
    </w:p>
    <w:p>
      <w:pPr>
        <w:pStyle w:val="Heading2"/>
      </w:pPr>
      <w:r>
        <w:t>Employer responsibilities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Nominate suitable learners and provide correct names, email addresses and any necessary accessibility information.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Ensure learners are released from work duties to attend and complete training.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Apply training in line with the employer’s own policies, care plans, risk assessments and supervision arrangements.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Inform ProCare Hub of safeguarding, conduct, venue or health and safety risks relevant to training delivery.</w:t>
      </w:r>
    </w:p>
    <w:p>
      <w:pPr>
        <w:pStyle w:val="Heading2"/>
      </w:pPr>
      <w:r>
        <w:t>Payment and cancellation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Unless otherwise agreed, invoices must be paid by the due date.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may require advance payment, deposits or cleared funds before access is released. Late cancellation, non-attendance or date changes may be charged in line with the Refund and Cancellation Policy.</w:t>
      </w:r>
    </w:p>
    <w:p>
      <w:pPr>
        <w:pStyle w:val="Heading2"/>
      </w:pPr>
      <w:r>
        <w:t>Training reports and certificates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may provide attendance, completion and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reports to the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 where this is lawful and expected under the booking. Reports must be treated as </w:t>
      </w:r>
      <w:r>
        <w:rPr>
          <w:rFonts w:ascii="Arial" w:hAnsi="Arial"/>
          <w:b/>
          <w:color w:val="444444"/>
          <w:sz w:val="20"/>
        </w:rPr>
        <w:t>confidential</w:t>
      </w:r>
      <w:r>
        <w:rPr>
          <w:rFonts w:ascii="Arial" w:hAnsi="Arial"/>
          <w:color w:val="444444"/>
          <w:sz w:val="20"/>
        </w:rPr>
        <w:t xml:space="preserve"> and should not be altered.</w:t>
      </w:r>
    </w:p>
    <w:p>
      <w:pPr>
        <w:pStyle w:val="Heading2"/>
      </w:pPr>
      <w:r>
        <w:t>Bespoke content and reliance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Bespoke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is prepared using information provided by the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. The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must check service-specific accuracy and must not rely on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as a substitute for regulated professional advice, management supervision or statutory compliance.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Signed proposal or written acceptance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Purchase order or invoice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nomination list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and completion report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Venue/risk information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Cancellation/change records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Client feedback and complaints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terms will be reviewed annually and whenever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introduces new corporate packages, subscriptions, on-site delivery models, funded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or platform reporting features.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Employer and Organisation Training Terms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