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2423160" cy="750979"/>
            <wp:docPr id="1" name="Picture 1"/>
            <wp:cNvGraphicFramePr>
              <a:graphicFrameLocks noChangeAspect="1"/>
            </wp:cNvGraphicFramePr>
            <a:graphic>
              <a:graphicData uri="http://schemas.openxmlformats.org/drawingml/2006/picture">
                <pic:pic>
                  <pic:nvPicPr>
                    <pic:cNvPr id="0" name="Screenshot 2026-06-06 103125.png"/>
                    <pic:cNvPicPr/>
                  </pic:nvPicPr>
                  <pic:blipFill>
                    <a:blip r:embed="rId11"/>
                    <a:stretch>
                      <a:fillRect/>
                    </a:stretch>
                  </pic:blipFill>
                  <pic:spPr>
                    <a:xfrm>
                      <a:off x="0" y="0"/>
                      <a:ext cx="2423160" cy="750979"/>
                    </a:xfrm>
                    <a:prstGeom prst="rect"/>
                  </pic:spPr>
                </pic:pic>
              </a:graphicData>
            </a:graphic>
          </wp:inline>
        </w:drawing>
      </w:r>
    </w:p>
    <w:p>
      <w:pPr>
        <w:pStyle w:val="Title"/>
        <w:spacing w:after="160"/>
      </w:pPr>
      <w:r>
        <w:t>ProCare Hub Malpractice and Plagiarism Policy</w:t>
      </w:r>
    </w:p>
    <w:p>
      <w:r>
        <w:rPr>
          <w:rFonts w:ascii="Arial" w:hAnsi="Arial"/>
          <w:color w:val="444444"/>
          <w:sz w:val="24"/>
        </w:rPr>
        <w:t>Preventing and responding to cheating, plagiarism, identity misuse and certificate fraud</w:t>
      </w:r>
    </w:p>
    <w:tbl>
      <w:tblPr>
        <w:tblStyle w:val="TableGrid"/>
        <w:tblW w:type="auto" w:w="0"/>
        <w:jc w:val="center"/>
        <w:tblLook w:firstColumn="1" w:firstRow="1" w:lastColumn="0" w:lastRow="0" w:noHBand="0" w:noVBand="1" w:val="04A0"/>
      </w:tblPr>
      <w:tblGrid>
        <w:gridCol w:w="5040"/>
        <w:gridCol w:w="5040"/>
      </w:tblGrid>
      <w:tr>
        <w:tc>
          <w:tcPr>
            <w:tcW w:type="dxa" w:w="5040"/>
            <w:shd w:fill="142644"/>
            <w:vAlign w:val="center"/>
          </w:tcPr>
          <w:p>
            <w:r/>
            <w:r>
              <w:rPr>
                <w:rFonts w:ascii="Arial" w:hAnsi="Arial"/>
                <w:b/>
                <w:color w:val="FFFFFF"/>
                <w:sz w:val="17"/>
              </w:rPr>
              <w:t>Document title</w:t>
            </w:r>
          </w:p>
        </w:tc>
        <w:tc>
          <w:tcPr>
            <w:tcW w:type="dxa" w:w="5040"/>
            <w:vAlign w:val="center"/>
          </w:tcPr>
          <w:p>
            <w:r/>
            <w:r>
              <w:rPr>
                <w:rFonts w:ascii="Arial" w:hAnsi="Arial"/>
                <w:b w:val="0"/>
                <w:sz w:val="17"/>
              </w:rPr>
              <w:t>ProCare Hub Malpractice and Plagiarism Policy</w:t>
            </w:r>
          </w:p>
        </w:tc>
      </w:tr>
      <w:tr>
        <w:tc>
          <w:tcPr>
            <w:tcW w:type="dxa" w:w="5040"/>
            <w:shd w:fill="142644"/>
            <w:vAlign w:val="center"/>
          </w:tcPr>
          <w:p>
            <w:r/>
            <w:r>
              <w:rPr>
                <w:rFonts w:ascii="Arial" w:hAnsi="Arial"/>
                <w:b/>
                <w:color w:val="FFFFFF"/>
                <w:sz w:val="17"/>
              </w:rPr>
              <w:t>Applies to</w:t>
            </w:r>
          </w:p>
        </w:tc>
        <w:tc>
          <w:tcPr>
            <w:tcW w:type="dxa" w:w="5040"/>
            <w:vAlign w:val="center"/>
          </w:tcPr>
          <w:p>
            <w:r/>
            <w:r>
              <w:rPr>
                <w:rFonts w:ascii="Arial" w:hAnsi="Arial"/>
                <w:b w:val="0"/>
                <w:sz w:val="17"/>
              </w:rPr>
              <w:t>ProCare Hub, Brandso Group Limited, learners, employer clients, trainers, assessors, contractors and relevant Brandso subsidiaries</w:t>
            </w:r>
          </w:p>
        </w:tc>
      </w:tr>
      <w:tr>
        <w:tc>
          <w:tcPr>
            <w:tcW w:type="dxa" w:w="5040"/>
            <w:shd w:fill="142644"/>
            <w:vAlign w:val="center"/>
          </w:tcPr>
          <w:p>
            <w:r/>
            <w:r>
              <w:rPr>
                <w:rFonts w:ascii="Arial" w:hAnsi="Arial"/>
                <w:b/>
                <w:color w:val="FFFFFF"/>
                <w:sz w:val="17"/>
              </w:rPr>
              <w:t>Document owner</w:t>
            </w:r>
          </w:p>
        </w:tc>
        <w:tc>
          <w:tcPr>
            <w:tcW w:type="dxa" w:w="5040"/>
            <w:vAlign w:val="center"/>
          </w:tcPr>
          <w:p>
            <w:r/>
            <w:r>
              <w:rPr>
                <w:rFonts w:ascii="Arial" w:hAnsi="Arial"/>
                <w:b w:val="0"/>
                <w:sz w:val="17"/>
              </w:rPr>
              <w:t>ProCare Hub Service Lead</w:t>
            </w:r>
          </w:p>
        </w:tc>
      </w:tr>
      <w:tr>
        <w:tc>
          <w:tcPr>
            <w:tcW w:type="dxa" w:w="5040"/>
            <w:shd w:fill="142644"/>
            <w:vAlign w:val="center"/>
          </w:tcPr>
          <w:p>
            <w:r/>
            <w:r>
              <w:rPr>
                <w:rFonts w:ascii="Arial" w:hAnsi="Arial"/>
                <w:b/>
                <w:color w:val="FFFFFF"/>
                <w:sz w:val="17"/>
              </w:rPr>
              <w:t>Approved by</w:t>
            </w:r>
          </w:p>
        </w:tc>
        <w:tc>
          <w:tcPr>
            <w:tcW w:type="dxa" w:w="5040"/>
            <w:vAlign w:val="center"/>
          </w:tcPr>
          <w:p>
            <w:r/>
            <w:r>
              <w:rPr>
                <w:rFonts w:ascii="Arial" w:hAnsi="Arial"/>
                <w:b w:val="0"/>
                <w:sz w:val="17"/>
              </w:rPr>
              <w:t>Simeon Ologeh</w:t>
            </w:r>
          </w:p>
        </w:tc>
      </w:tr>
      <w:tr>
        <w:tc>
          <w:tcPr>
            <w:tcW w:type="dxa" w:w="5040"/>
            <w:shd w:fill="142644"/>
            <w:vAlign w:val="center"/>
          </w:tcPr>
          <w:p>
            <w:r/>
            <w:r>
              <w:rPr>
                <w:rFonts w:ascii="Arial" w:hAnsi="Arial"/>
                <w:b/>
                <w:color w:val="FFFFFF"/>
                <w:sz w:val="17"/>
              </w:rPr>
              <w:t>Approval date</w:t>
            </w:r>
          </w:p>
        </w:tc>
        <w:tc>
          <w:tcPr>
            <w:tcW w:type="dxa" w:w="5040"/>
            <w:vAlign w:val="center"/>
          </w:tcPr>
          <w:p>
            <w:r/>
            <w:r>
              <w:rPr>
                <w:rFonts w:ascii="Arial" w:hAnsi="Arial"/>
                <w:b w:val="0"/>
                <w:sz w:val="17"/>
              </w:rPr>
              <w:t>10/06/2026</w:t>
            </w:r>
          </w:p>
        </w:tc>
      </w:tr>
      <w:tr>
        <w:tc>
          <w:tcPr>
            <w:tcW w:type="dxa" w:w="5040"/>
            <w:shd w:fill="142644"/>
            <w:vAlign w:val="center"/>
          </w:tcPr>
          <w:p>
            <w:r/>
            <w:r>
              <w:rPr>
                <w:rFonts w:ascii="Arial" w:hAnsi="Arial"/>
                <w:b/>
                <w:color w:val="FFFFFF"/>
                <w:sz w:val="17"/>
              </w:rPr>
              <w:t>Version</w:t>
            </w:r>
          </w:p>
        </w:tc>
        <w:tc>
          <w:tcPr>
            <w:tcW w:type="dxa" w:w="5040"/>
            <w:vAlign w:val="center"/>
          </w:tcPr>
          <w:p>
            <w:r/>
            <w:r>
              <w:rPr>
                <w:rFonts w:ascii="Arial" w:hAnsi="Arial"/>
                <w:b w:val="0"/>
                <w:sz w:val="17"/>
              </w:rPr>
              <w:t>1.0</w:t>
            </w:r>
          </w:p>
        </w:tc>
      </w:tr>
      <w:tr>
        <w:tc>
          <w:tcPr>
            <w:tcW w:type="dxa" w:w="5040"/>
            <w:shd w:fill="142644"/>
            <w:vAlign w:val="center"/>
          </w:tcPr>
          <w:p>
            <w:r/>
            <w:r>
              <w:rPr>
                <w:rFonts w:ascii="Arial" w:hAnsi="Arial"/>
                <w:b/>
                <w:color w:val="FFFFFF"/>
                <w:sz w:val="17"/>
              </w:rPr>
              <w:t>Review frequency</w:t>
            </w:r>
          </w:p>
        </w:tc>
        <w:tc>
          <w:tcPr>
            <w:tcW w:type="dxa" w:w="5040"/>
            <w:vAlign w:val="center"/>
          </w:tcPr>
          <w:p>
            <w:r/>
            <w:r>
              <w:rPr>
                <w:rFonts w:ascii="Arial" w:hAnsi="Arial"/>
                <w:b w:val="0"/>
                <w:sz w:val="17"/>
              </w:rPr>
              <w:t>Annual, or earlier following legal, regulatory, safeguarding, course, platform or service change</w:t>
            </w:r>
          </w:p>
        </w:tc>
      </w:tr>
      <w:tr>
        <w:tc>
          <w:tcPr>
            <w:tcW w:type="dxa" w:w="5040"/>
            <w:shd w:fill="142644"/>
            <w:vAlign w:val="center"/>
          </w:tcPr>
          <w:p>
            <w:r/>
            <w:r>
              <w:rPr>
                <w:rFonts w:ascii="Arial" w:hAnsi="Arial"/>
                <w:b/>
                <w:color w:val="FFFFFF"/>
                <w:sz w:val="17"/>
              </w:rPr>
              <w:t>Legal jurisdiction</w:t>
            </w:r>
          </w:p>
        </w:tc>
        <w:tc>
          <w:tcPr>
            <w:tcW w:type="dxa" w:w="5040"/>
            <w:vAlign w:val="center"/>
          </w:tcPr>
          <w:p>
            <w:r/>
            <w:r>
              <w:rPr>
                <w:rFonts w:ascii="Arial" w:hAnsi="Arial"/>
                <w:b w:val="0"/>
                <w:sz w:val="17"/>
              </w:rPr>
              <w:t>England and Wales</w:t>
            </w:r>
          </w:p>
        </w:tc>
      </w:tr>
      <w:tr>
        <w:tc>
          <w:tcPr>
            <w:tcW w:type="dxa" w:w="5040"/>
            <w:shd w:fill="142644"/>
            <w:vAlign w:val="center"/>
          </w:tcPr>
          <w:p>
            <w:r/>
            <w:r>
              <w:rPr>
                <w:rFonts w:ascii="Arial" w:hAnsi="Arial"/>
                <w:b/>
                <w:color w:val="FFFFFF"/>
                <w:sz w:val="17"/>
              </w:rPr>
              <w:t>Contact</w:t>
            </w:r>
          </w:p>
        </w:tc>
        <w:tc>
          <w:tcPr>
            <w:tcW w:type="dxa" w:w="5040"/>
            <w:vAlign w:val="center"/>
          </w:tcPr>
          <w:p>
            <w:r/>
            <w:r>
              <w:rPr>
                <w:rFonts w:ascii="Arial" w:hAnsi="Arial"/>
                <w:b w:val="0"/>
                <w:sz w:val="17"/>
              </w:rPr>
              <w:t>info@brandso.co.uk | 0333 335 5919</w:t>
            </w:r>
          </w:p>
        </w:tc>
      </w:tr>
    </w:tbl>
    <w:p/>
    <w:p>
      <w:pPr>
        <w:spacing w:after="120" w:line="259" w:lineRule="auto"/>
      </w:pPr>
      <w:r>
        <w:rPr>
          <w:rFonts w:ascii="Arial" w:hAnsi="Arial"/>
          <w:color w:val="444444"/>
          <w:sz w:val="20"/>
        </w:rPr>
        <w:t xml:space="preserve">This document forms part of the </w:t>
      </w:r>
      <w:r>
        <w:rPr>
          <w:rFonts w:ascii="Arial" w:hAnsi="Arial"/>
          <w:b/>
          <w:color w:val="444444"/>
          <w:sz w:val="20"/>
        </w:rPr>
        <w:t>Brandso Group</w:t>
      </w:r>
      <w:r>
        <w:rPr>
          <w:rFonts w:ascii="Arial" w:hAnsi="Arial"/>
          <w:color w:val="444444"/>
          <w:sz w:val="20"/>
        </w:rPr>
        <w:t xml:space="preserve"> Policy Library. It has been prepared for </w:t>
      </w:r>
      <w:r>
        <w:rPr>
          <w:rFonts w:ascii="Arial" w:hAnsi="Arial"/>
          <w:b/>
          <w:color w:val="444444"/>
          <w:sz w:val="20"/>
        </w:rPr>
        <w:t>ProCare Hub</w:t>
      </w:r>
      <w:r>
        <w:rPr>
          <w:rFonts w:ascii="Arial" w:hAnsi="Arial"/>
          <w:color w:val="444444"/>
          <w:sz w:val="20"/>
        </w:rPr>
        <w:t xml:space="preserve">, a </w:t>
      </w:r>
      <w:r>
        <w:rPr>
          <w:rFonts w:ascii="Arial" w:hAnsi="Arial"/>
          <w:b/>
          <w:color w:val="444444"/>
          <w:sz w:val="20"/>
        </w:rPr>
        <w:t>Brandso Group</w:t>
      </w:r>
      <w:r>
        <w:rPr>
          <w:rFonts w:ascii="Arial" w:hAnsi="Arial"/>
          <w:color w:val="444444"/>
          <w:sz w:val="20"/>
        </w:rPr>
        <w:t xml:space="preserve"> </w:t>
      </w:r>
      <w:r>
        <w:rPr>
          <w:rFonts w:ascii="Arial" w:hAnsi="Arial"/>
          <w:b/>
          <w:color w:val="444444"/>
          <w:sz w:val="20"/>
        </w:rPr>
        <w:t>training</w:t>
      </w:r>
      <w:r>
        <w:rPr>
          <w:rFonts w:ascii="Arial" w:hAnsi="Arial"/>
          <w:color w:val="444444"/>
          <w:sz w:val="20"/>
        </w:rPr>
        <w:t xml:space="preserve"> service operated by </w:t>
      </w:r>
      <w:r>
        <w:rPr>
          <w:rFonts w:ascii="Arial" w:hAnsi="Arial"/>
          <w:b/>
          <w:color w:val="444444"/>
          <w:sz w:val="20"/>
        </w:rPr>
        <w:t>Brandso Group Limited</w:t>
      </w:r>
      <w:r>
        <w:rPr>
          <w:rFonts w:ascii="Arial" w:hAnsi="Arial"/>
          <w:color w:val="444444"/>
          <w:sz w:val="20"/>
        </w:rPr>
        <w:t xml:space="preserve">, company number 15970239, registered office Unit 6, 33 Hungerhill Road, Nottingham, England, NG3 4NB, </w:t>
      </w:r>
      <w:r>
        <w:rPr>
          <w:rFonts w:ascii="Arial" w:hAnsi="Arial"/>
          <w:b/>
          <w:color w:val="444444"/>
          <w:sz w:val="20"/>
        </w:rPr>
        <w:t>ICO</w:t>
      </w:r>
      <w:r>
        <w:rPr>
          <w:rFonts w:ascii="Arial" w:hAnsi="Arial"/>
          <w:color w:val="444444"/>
          <w:sz w:val="20"/>
        </w:rPr>
        <w:t xml:space="preserve"> registration number ZC142984.</w:t>
      </w:r>
    </w:p>
    <w:p>
      <w:pPr>
        <w:spacing w:after="120" w:line="259" w:lineRule="auto"/>
      </w:pPr>
      <w:r>
        <w:rPr>
          <w:rFonts w:ascii="Arial" w:hAnsi="Arial"/>
          <w:color w:val="444444"/>
          <w:sz w:val="20"/>
        </w:rPr>
        <w:t xml:space="preserve">This document supports safe, fair, consistent and commercially controlled </w:t>
      </w:r>
      <w:r>
        <w:rPr>
          <w:rFonts w:ascii="Arial" w:hAnsi="Arial"/>
          <w:b/>
          <w:color w:val="444444"/>
          <w:sz w:val="20"/>
        </w:rPr>
        <w:t>training</w:t>
      </w:r>
      <w:r>
        <w:rPr>
          <w:rFonts w:ascii="Arial" w:hAnsi="Arial"/>
          <w:color w:val="444444"/>
          <w:sz w:val="20"/>
        </w:rPr>
        <w:t xml:space="preserve"> delivery. It is not a substitute for independent legal, regulatory, awarding body, </w:t>
      </w:r>
      <w:r>
        <w:rPr>
          <w:rFonts w:ascii="Arial" w:hAnsi="Arial"/>
          <w:b/>
          <w:color w:val="444444"/>
          <w:sz w:val="20"/>
        </w:rPr>
        <w:t>safeguarding</w:t>
      </w:r>
      <w:r>
        <w:rPr>
          <w:rFonts w:ascii="Arial" w:hAnsi="Arial"/>
          <w:color w:val="444444"/>
          <w:sz w:val="20"/>
        </w:rPr>
        <w:t>, employment or clinical advice where a matter is complex, disputed or high risk.</w:t>
      </w:r>
    </w:p>
    <w:p>
      <w:r>
        <w:br w:type="page"/>
      </w:r>
    </w:p>
    <w:p>
      <w:pPr>
        <w:pStyle w:val="Heading1"/>
      </w:pPr>
      <w:r>
        <w:t>1. Purpose</w:t>
      </w:r>
    </w:p>
    <w:p>
      <w:pPr>
        <w:spacing w:after="120" w:line="259" w:lineRule="auto"/>
      </w:pPr>
      <w:r>
        <w:rPr>
          <w:rFonts w:ascii="Arial" w:hAnsi="Arial"/>
          <w:color w:val="444444"/>
          <w:sz w:val="20"/>
        </w:rPr>
        <w:t xml:space="preserve">This policy prevents, detects and manages </w:t>
      </w:r>
      <w:r>
        <w:rPr>
          <w:rFonts w:ascii="Arial" w:hAnsi="Arial"/>
          <w:b/>
          <w:color w:val="444444"/>
          <w:sz w:val="20"/>
        </w:rPr>
        <w:t>malpractice</w:t>
      </w:r>
      <w:r>
        <w:rPr>
          <w:rFonts w:ascii="Arial" w:hAnsi="Arial"/>
          <w:color w:val="444444"/>
          <w:sz w:val="20"/>
        </w:rPr>
        <w:t xml:space="preserve">, maladministration, plagiarism, cheating, identity misuse, </w:t>
      </w:r>
      <w:r>
        <w:rPr>
          <w:rFonts w:ascii="Arial" w:hAnsi="Arial"/>
          <w:b/>
          <w:color w:val="444444"/>
          <w:sz w:val="20"/>
        </w:rPr>
        <w:t>certificate</w:t>
      </w:r>
      <w:r>
        <w:rPr>
          <w:rFonts w:ascii="Arial" w:hAnsi="Arial"/>
          <w:color w:val="444444"/>
          <w:sz w:val="20"/>
        </w:rPr>
        <w:t xml:space="preserve"> misuse and improper conduct connected to </w:t>
      </w:r>
      <w:r>
        <w:rPr>
          <w:rFonts w:ascii="Arial" w:hAnsi="Arial"/>
          <w:b/>
          <w:color w:val="444444"/>
          <w:sz w:val="20"/>
        </w:rPr>
        <w:t>ProCare Hub</w:t>
      </w:r>
      <w:r>
        <w:rPr>
          <w:rFonts w:ascii="Arial" w:hAnsi="Arial"/>
          <w:color w:val="444444"/>
          <w:sz w:val="20"/>
        </w:rPr>
        <w:t xml:space="preserve"> </w:t>
      </w:r>
      <w:r>
        <w:rPr>
          <w:rFonts w:ascii="Arial" w:hAnsi="Arial"/>
          <w:b/>
          <w:color w:val="444444"/>
          <w:sz w:val="20"/>
        </w:rPr>
        <w:t>training</w:t>
      </w:r>
      <w:r>
        <w:rPr>
          <w:rFonts w:ascii="Arial" w:hAnsi="Arial"/>
          <w:color w:val="444444"/>
          <w:sz w:val="20"/>
        </w:rPr>
        <w:t xml:space="preserve"> and </w:t>
      </w:r>
      <w:r>
        <w:rPr>
          <w:rFonts w:ascii="Arial" w:hAnsi="Arial"/>
          <w:b/>
          <w:color w:val="444444"/>
          <w:sz w:val="20"/>
        </w:rPr>
        <w:t>assessment</w:t>
      </w:r>
      <w:r>
        <w:rPr>
          <w:rFonts w:ascii="Arial" w:hAnsi="Arial"/>
          <w:color w:val="444444"/>
          <w:sz w:val="20"/>
        </w:rPr>
        <w:t>.</w:t>
      </w:r>
    </w:p>
    <w:p>
      <w:pPr>
        <w:pStyle w:val="Heading1"/>
      </w:pPr>
      <w:r>
        <w:t>2. Scope</w:t>
      </w:r>
    </w:p>
    <w:p>
      <w:pPr>
        <w:spacing w:after="120" w:line="259" w:lineRule="auto"/>
      </w:pPr>
      <w:r>
        <w:rPr>
          <w:rFonts w:ascii="Arial" w:hAnsi="Arial"/>
          <w:color w:val="444444"/>
          <w:sz w:val="20"/>
        </w:rPr>
        <w:t xml:space="preserve">This document applies to </w:t>
      </w:r>
      <w:r>
        <w:rPr>
          <w:rFonts w:ascii="Arial" w:hAnsi="Arial"/>
          <w:b/>
          <w:color w:val="444444"/>
          <w:sz w:val="20"/>
        </w:rPr>
        <w:t>ProCare Hub</w:t>
      </w:r>
      <w:r>
        <w:rPr>
          <w:rFonts w:ascii="Arial" w:hAnsi="Arial"/>
          <w:color w:val="444444"/>
          <w:sz w:val="20"/>
        </w:rPr>
        <w:t xml:space="preserve"> and any </w:t>
      </w:r>
      <w:r>
        <w:rPr>
          <w:rFonts w:ascii="Arial" w:hAnsi="Arial"/>
          <w:b/>
          <w:color w:val="444444"/>
          <w:sz w:val="20"/>
        </w:rPr>
        <w:t>Brandso Group</w:t>
      </w:r>
      <w:r>
        <w:rPr>
          <w:rFonts w:ascii="Arial" w:hAnsi="Arial"/>
          <w:color w:val="444444"/>
          <w:sz w:val="20"/>
        </w:rPr>
        <w:t xml:space="preserve"> staff, trainers, contractors, </w:t>
      </w:r>
      <w:r>
        <w:rPr>
          <w:rFonts w:ascii="Arial" w:hAnsi="Arial"/>
          <w:b/>
          <w:color w:val="444444"/>
          <w:sz w:val="20"/>
        </w:rPr>
        <w:t>learner</w:t>
      </w:r>
      <w:r>
        <w:rPr>
          <w:rFonts w:ascii="Arial" w:hAnsi="Arial"/>
          <w:color w:val="444444"/>
          <w:sz w:val="20"/>
        </w:rPr>
        <w:t xml:space="preserve">s, </w:t>
      </w:r>
      <w:r>
        <w:rPr>
          <w:rFonts w:ascii="Arial" w:hAnsi="Arial"/>
          <w:b/>
          <w:color w:val="444444"/>
          <w:sz w:val="20"/>
        </w:rPr>
        <w:t>employer</w:t>
      </w:r>
      <w:r>
        <w:rPr>
          <w:rFonts w:ascii="Arial" w:hAnsi="Arial"/>
          <w:color w:val="444444"/>
          <w:sz w:val="20"/>
        </w:rPr>
        <w:t xml:space="preserve"> clients or approved partners involved in the relevant </w:t>
      </w:r>
      <w:r>
        <w:rPr>
          <w:rFonts w:ascii="Arial" w:hAnsi="Arial"/>
          <w:b/>
          <w:color w:val="444444"/>
          <w:sz w:val="20"/>
        </w:rPr>
        <w:t>training</w:t>
      </w:r>
      <w:r>
        <w:rPr>
          <w:rFonts w:ascii="Arial" w:hAnsi="Arial"/>
          <w:color w:val="444444"/>
          <w:sz w:val="20"/>
        </w:rPr>
        <w:t xml:space="preserve"> activity. It should be read alongside the </w:t>
      </w:r>
      <w:r>
        <w:rPr>
          <w:rFonts w:ascii="Arial" w:hAnsi="Arial"/>
          <w:b/>
          <w:color w:val="444444"/>
          <w:sz w:val="20"/>
        </w:rPr>
        <w:t>Brandso Group</w:t>
      </w:r>
      <w:r>
        <w:rPr>
          <w:rFonts w:ascii="Arial" w:hAnsi="Arial"/>
          <w:color w:val="444444"/>
          <w:sz w:val="20"/>
        </w:rPr>
        <w:t xml:space="preserve"> legal, data protection, customer service, finance, HR and </w:t>
      </w:r>
      <w:r>
        <w:rPr>
          <w:rFonts w:ascii="Arial" w:hAnsi="Arial"/>
          <w:b/>
          <w:color w:val="444444"/>
          <w:sz w:val="20"/>
        </w:rPr>
        <w:t>safeguarding</w:t>
      </w:r>
      <w:r>
        <w:rPr>
          <w:rFonts w:ascii="Arial" w:hAnsi="Arial"/>
          <w:color w:val="444444"/>
          <w:sz w:val="20"/>
        </w:rPr>
        <w:t>-related policy packs.</w:t>
      </w:r>
    </w:p>
    <w:p>
      <w:pPr>
        <w:pStyle w:val="ListBullet"/>
        <w:spacing w:after="60" w:line="252" w:lineRule="auto"/>
      </w:pPr>
      <w:r>
        <w:rPr>
          <w:rFonts w:ascii="Arial" w:hAnsi="Arial"/>
          <w:color w:val="444444"/>
          <w:sz w:val="20"/>
        </w:rPr>
        <w:t>Learners and employer clients</w:t>
      </w:r>
    </w:p>
    <w:p>
      <w:pPr>
        <w:pStyle w:val="ListBullet"/>
        <w:spacing w:after="60" w:line="252" w:lineRule="auto"/>
      </w:pPr>
      <w:r>
        <w:rPr>
          <w:rFonts w:ascii="Arial" w:hAnsi="Arial"/>
          <w:color w:val="444444"/>
          <w:sz w:val="20"/>
        </w:rPr>
        <w:t>Trainers, assessors, administrators and contractors</w:t>
      </w:r>
    </w:p>
    <w:p>
      <w:pPr>
        <w:pStyle w:val="ListBullet"/>
        <w:spacing w:after="60" w:line="252" w:lineRule="auto"/>
      </w:pPr>
      <w:r>
        <w:rPr>
          <w:rFonts w:ascii="Arial" w:hAnsi="Arial"/>
          <w:color w:val="444444"/>
          <w:sz w:val="20"/>
        </w:rPr>
        <w:t>Online tests, written tasks and practical assessments</w:t>
      </w:r>
    </w:p>
    <w:p>
      <w:pPr>
        <w:pStyle w:val="ListBullet"/>
        <w:spacing w:after="60" w:line="252" w:lineRule="auto"/>
      </w:pPr>
      <w:r>
        <w:rPr>
          <w:rFonts w:ascii="Arial" w:hAnsi="Arial"/>
          <w:color w:val="444444"/>
          <w:sz w:val="20"/>
        </w:rPr>
        <w:t>Certificates and training records</w:t>
      </w:r>
    </w:p>
    <w:p>
      <w:pPr>
        <w:pStyle w:val="ListBullet"/>
        <w:spacing w:after="60" w:line="252" w:lineRule="auto"/>
      </w:pPr>
      <w:r>
        <w:rPr>
          <w:rFonts w:ascii="Arial" w:hAnsi="Arial"/>
          <w:color w:val="444444"/>
          <w:sz w:val="20"/>
        </w:rPr>
        <w:t>Course materials, portals and intellectual property</w:t>
      </w:r>
    </w:p>
    <w:p>
      <w:pPr>
        <w:pStyle w:val="Heading1"/>
      </w:pPr>
      <w:r>
        <w:t>3. Policy statement and operating principles</w:t>
      </w:r>
    </w:p>
    <w:p>
      <w:pPr>
        <w:spacing w:after="120" w:line="259" w:lineRule="auto"/>
      </w:pPr>
      <w:r>
        <w:rPr>
          <w:rFonts w:ascii="Arial" w:hAnsi="Arial"/>
          <w:color w:val="444444"/>
          <w:sz w:val="20"/>
        </w:rPr>
      </w:r>
      <w:r>
        <w:rPr>
          <w:rFonts w:ascii="Arial" w:hAnsi="Arial"/>
          <w:b/>
          <w:color w:val="444444"/>
          <w:sz w:val="20"/>
        </w:rPr>
        <w:t>ProCare Hub</w:t>
      </w:r>
      <w:r>
        <w:rPr>
          <w:rFonts w:ascii="Arial" w:hAnsi="Arial"/>
          <w:color w:val="444444"/>
          <w:sz w:val="20"/>
        </w:rPr>
        <w:t xml:space="preserve"> must deliver </w:t>
      </w:r>
      <w:r>
        <w:rPr>
          <w:rFonts w:ascii="Arial" w:hAnsi="Arial"/>
          <w:b/>
          <w:color w:val="444444"/>
          <w:sz w:val="20"/>
        </w:rPr>
        <w:t>training</w:t>
      </w:r>
      <w:r>
        <w:rPr>
          <w:rFonts w:ascii="Arial" w:hAnsi="Arial"/>
          <w:color w:val="444444"/>
          <w:sz w:val="20"/>
        </w:rPr>
        <w:t xml:space="preserve"> that is clear, honest, safe, accessible, commercially fair and appropriate to the </w:t>
      </w:r>
      <w:r>
        <w:rPr>
          <w:rFonts w:ascii="Arial" w:hAnsi="Arial"/>
          <w:b/>
          <w:color w:val="444444"/>
          <w:sz w:val="20"/>
        </w:rPr>
        <w:t>learner</w:t>
      </w:r>
      <w:r>
        <w:rPr>
          <w:rFonts w:ascii="Arial" w:hAnsi="Arial"/>
          <w:color w:val="444444"/>
          <w:sz w:val="20"/>
        </w:rPr>
        <w:t xml:space="preserve"> audience. Training materials must not overstate qualifications, guarantees, legal effect, inspection outcomes, employment prospects or regulatory approval.</w:t>
      </w:r>
    </w:p>
    <w:p>
      <w:pPr>
        <w:pStyle w:val="ListBullet"/>
        <w:spacing w:after="60" w:line="252" w:lineRule="auto"/>
      </w:pPr>
      <w:r>
        <w:rPr>
          <w:rFonts w:ascii="Arial" w:hAnsi="Arial"/>
          <w:color w:val="444444"/>
          <w:sz w:val="20"/>
        </w:rPr>
        <w:t>ProCare Hub must protect the credibility of its training and certificates.</w:t>
      </w:r>
    </w:p>
    <w:p>
      <w:pPr>
        <w:pStyle w:val="ListBullet"/>
        <w:spacing w:after="60" w:line="252" w:lineRule="auto"/>
      </w:pPr>
      <w:r>
        <w:rPr>
          <w:rFonts w:ascii="Arial" w:hAnsi="Arial"/>
          <w:color w:val="444444"/>
          <w:sz w:val="20"/>
        </w:rPr>
        <w:t>Allegations must be handled fairly, confidentially and proportionately.</w:t>
      </w:r>
    </w:p>
    <w:p>
      <w:pPr>
        <w:pStyle w:val="ListBullet"/>
        <w:spacing w:after="60" w:line="252" w:lineRule="auto"/>
      </w:pPr>
      <w:r>
        <w:rPr>
          <w:rFonts w:ascii="Arial" w:hAnsi="Arial"/>
          <w:color w:val="444444"/>
          <w:sz w:val="20"/>
        </w:rPr>
        <w:t>Certificates may be withheld or withdrawn where malpractice is substantiated.</w:t>
      </w:r>
    </w:p>
    <w:p>
      <w:pPr>
        <w:pStyle w:val="ListBullet"/>
        <w:spacing w:after="60" w:line="252" w:lineRule="auto"/>
      </w:pPr>
      <w:r>
        <w:rPr>
          <w:rFonts w:ascii="Arial" w:hAnsi="Arial"/>
          <w:color w:val="444444"/>
          <w:sz w:val="20"/>
        </w:rPr>
        <w:t>Staff must report suspected malpractice and must not ignore pressure to pass learners without evidence.</w:t>
      </w:r>
    </w:p>
    <w:p>
      <w:pPr>
        <w:pStyle w:val="ListBullet"/>
        <w:spacing w:after="60" w:line="252" w:lineRule="auto"/>
      </w:pPr>
      <w:r>
        <w:rPr>
          <w:rFonts w:ascii="Arial" w:hAnsi="Arial"/>
          <w:color w:val="444444"/>
          <w:sz w:val="20"/>
        </w:rPr>
        <w:t>Where an awarding organisation or regulator is involved, external rules and reporting requirements must be followed.</w:t>
      </w:r>
    </w:p>
    <w:p>
      <w:pPr>
        <w:pStyle w:val="Heading1"/>
      </w:pPr>
      <w:r>
        <w:t>4. Key risks and controls</w:t>
      </w:r>
    </w:p>
    <w:p>
      <w:pPr>
        <w:pStyle w:val="ListBullet"/>
        <w:spacing w:after="60" w:line="252" w:lineRule="auto"/>
      </w:pPr>
      <w:r>
        <w:rPr>
          <w:rFonts w:ascii="Arial" w:hAnsi="Arial"/>
          <w:color w:val="444444"/>
          <w:sz w:val="20"/>
        </w:rPr>
        <w:t>Identity fraud: someone else completes a course or assessment.</w:t>
      </w:r>
    </w:p>
    <w:p>
      <w:pPr>
        <w:pStyle w:val="ListBullet"/>
        <w:spacing w:after="60" w:line="252" w:lineRule="auto"/>
      </w:pPr>
      <w:r>
        <w:rPr>
          <w:rFonts w:ascii="Arial" w:hAnsi="Arial"/>
          <w:color w:val="444444"/>
          <w:sz w:val="20"/>
        </w:rPr>
        <w:t>Plagiarism: learner copies answers or uses unapproved AI without permission.</w:t>
      </w:r>
    </w:p>
    <w:p>
      <w:pPr>
        <w:pStyle w:val="ListBullet"/>
        <w:spacing w:after="60" w:line="252" w:lineRule="auto"/>
      </w:pPr>
      <w:r>
        <w:rPr>
          <w:rFonts w:ascii="Arial" w:hAnsi="Arial"/>
          <w:color w:val="444444"/>
          <w:sz w:val="20"/>
        </w:rPr>
        <w:t>Certificate fraud: certificate is altered, shared or sold.</w:t>
      </w:r>
    </w:p>
    <w:p>
      <w:pPr>
        <w:pStyle w:val="ListBullet"/>
        <w:spacing w:after="60" w:line="252" w:lineRule="auto"/>
      </w:pPr>
      <w:r>
        <w:rPr>
          <w:rFonts w:ascii="Arial" w:hAnsi="Arial"/>
          <w:color w:val="444444"/>
          <w:sz w:val="20"/>
        </w:rPr>
        <w:t>Staff malpractice: trainer records attendance inaccurately or helps learners cheat.</w:t>
      </w:r>
    </w:p>
    <w:p>
      <w:pPr>
        <w:pStyle w:val="ListBullet"/>
        <w:spacing w:after="60" w:line="252" w:lineRule="auto"/>
      </w:pPr>
      <w:r>
        <w:rPr>
          <w:rFonts w:ascii="Arial" w:hAnsi="Arial"/>
          <w:color w:val="444444"/>
          <w:sz w:val="20"/>
        </w:rPr>
        <w:t>Employer pressure: client asks ProCare Hub to issue certificates without completion.</w:t>
      </w:r>
    </w:p>
    <w:p>
      <w:pPr>
        <w:pStyle w:val="Heading1"/>
      </w:pPr>
      <w:r>
        <w:t>5. Roles and responsibilities</w:t>
      </w:r>
    </w:p>
    <w:tbl>
      <w:tblPr>
        <w:tblStyle w:val="TableGrid"/>
        <w:tblW w:type="auto" w:w="0"/>
        <w:jc w:val="center"/>
        <w:tblLook w:firstColumn="1" w:firstRow="1" w:lastColumn="0" w:lastRow="0" w:noHBand="0" w:noVBand="1" w:val="04A0"/>
      </w:tblPr>
      <w:tblGrid>
        <w:gridCol w:w="5040"/>
        <w:gridCol w:w="5040"/>
      </w:tblGrid>
      <w:tr>
        <w:tc>
          <w:tcPr>
            <w:tcW w:type="dxa" w:w="5040"/>
            <w:shd w:fill="142644"/>
          </w:tcPr>
          <w:p>
            <w:r/>
            <w:r>
              <w:rPr>
                <w:rFonts w:ascii="Arial" w:hAnsi="Arial"/>
                <w:b/>
                <w:color w:val="FFFFFF"/>
                <w:sz w:val="18"/>
              </w:rPr>
              <w:t>Role</w:t>
            </w:r>
          </w:p>
        </w:tc>
        <w:tc>
          <w:tcPr>
            <w:tcW w:type="dxa" w:w="5040"/>
            <w:shd w:fill="142644"/>
          </w:tcPr>
          <w:p>
            <w:r/>
            <w:r>
              <w:rPr>
                <w:rFonts w:ascii="Arial" w:hAnsi="Arial"/>
                <w:b/>
                <w:color w:val="FFFFFF"/>
                <w:sz w:val="18"/>
              </w:rPr>
              <w:t>Responsibility</w:t>
            </w:r>
          </w:p>
        </w:tc>
      </w:tr>
      <w:tr>
        <w:tc>
          <w:tcPr>
            <w:tcW w:type="dxa" w:w="5040"/>
          </w:tcPr>
          <w:p>
            <w:r/>
            <w:r>
              <w:rPr>
                <w:rFonts w:ascii="Arial" w:hAnsi="Arial"/>
                <w:b/>
                <w:sz w:val="17"/>
              </w:rPr>
              <w:t>Brandso Group Director</w:t>
            </w:r>
          </w:p>
        </w:tc>
        <w:tc>
          <w:tcPr>
            <w:tcW w:type="dxa" w:w="5040"/>
          </w:tcPr>
          <w:p>
            <w:r/>
            <w:r>
              <w:rPr>
                <w:rFonts w:ascii="Arial" w:hAnsi="Arial"/>
                <w:b w:val="0"/>
                <w:sz w:val="17"/>
              </w:rPr>
              <w:t>Approves the training governance framework, sets risk appetite and ensures ProCare Hub operates within Brandso Group standards.</w:t>
            </w:r>
          </w:p>
        </w:tc>
      </w:tr>
      <w:tr>
        <w:tc>
          <w:tcPr>
            <w:tcW w:type="dxa" w:w="5040"/>
          </w:tcPr>
          <w:p>
            <w:r/>
            <w:r>
              <w:rPr>
                <w:rFonts w:ascii="Arial" w:hAnsi="Arial"/>
                <w:b/>
                <w:sz w:val="17"/>
              </w:rPr>
              <w:t>ProCare Hub Service Lead</w:t>
            </w:r>
          </w:p>
        </w:tc>
        <w:tc>
          <w:tcPr>
            <w:tcW w:type="dxa" w:w="5040"/>
          </w:tcPr>
          <w:p>
            <w:r/>
            <w:r>
              <w:rPr>
                <w:rFonts w:ascii="Arial" w:hAnsi="Arial"/>
                <w:b w:val="0"/>
                <w:sz w:val="17"/>
              </w:rPr>
              <w:t>Owns course delivery, learner experience, trainer allocation, quality checks, complaints, certificates and escalation.</w:t>
            </w:r>
          </w:p>
        </w:tc>
      </w:tr>
      <w:tr>
        <w:tc>
          <w:tcPr>
            <w:tcW w:type="dxa" w:w="5040"/>
          </w:tcPr>
          <w:p>
            <w:r/>
            <w:r>
              <w:rPr>
                <w:rFonts w:ascii="Arial" w:hAnsi="Arial"/>
                <w:b/>
                <w:sz w:val="17"/>
              </w:rPr>
              <w:t>Trainer / Assessor</w:t>
            </w:r>
          </w:p>
        </w:tc>
        <w:tc>
          <w:tcPr>
            <w:tcW w:type="dxa" w:w="5040"/>
          </w:tcPr>
          <w:p>
            <w:r/>
            <w:r>
              <w:rPr>
                <w:rFonts w:ascii="Arial" w:hAnsi="Arial"/>
                <w:b w:val="0"/>
                <w:sz w:val="17"/>
              </w:rPr>
              <w:t>Delivers training competently, marks assessments fairly, keeps records and reports safeguarding, malpractice, quality or conduct concerns.</w:t>
            </w:r>
          </w:p>
        </w:tc>
      </w:tr>
      <w:tr>
        <w:tc>
          <w:tcPr>
            <w:tcW w:type="dxa" w:w="5040"/>
          </w:tcPr>
          <w:p>
            <w:r/>
            <w:r>
              <w:rPr>
                <w:rFonts w:ascii="Arial" w:hAnsi="Arial"/>
                <w:b/>
                <w:sz w:val="17"/>
              </w:rPr>
              <w:t>Administrator / Support Team</w:t>
            </w:r>
          </w:p>
        </w:tc>
        <w:tc>
          <w:tcPr>
            <w:tcW w:type="dxa" w:w="5040"/>
          </w:tcPr>
          <w:p>
            <w:r/>
            <w:r>
              <w:rPr>
                <w:rFonts w:ascii="Arial" w:hAnsi="Arial"/>
                <w:b w:val="0"/>
                <w:sz w:val="17"/>
              </w:rPr>
              <w:t>Manages bookings, learner access, attendance records, certificates, enquiries, invoices and data updates.</w:t>
            </w:r>
          </w:p>
        </w:tc>
      </w:tr>
      <w:tr>
        <w:tc>
          <w:tcPr>
            <w:tcW w:type="dxa" w:w="5040"/>
          </w:tcPr>
          <w:p>
            <w:r/>
            <w:r>
              <w:rPr>
                <w:rFonts w:ascii="Arial" w:hAnsi="Arial"/>
                <w:b/>
                <w:sz w:val="17"/>
              </w:rPr>
              <w:t>Learner / Employer Client</w:t>
            </w:r>
          </w:p>
        </w:tc>
        <w:tc>
          <w:tcPr>
            <w:tcW w:type="dxa" w:w="5040"/>
          </w:tcPr>
          <w:p>
            <w:r/>
            <w:r>
              <w:rPr>
                <w:rFonts w:ascii="Arial" w:hAnsi="Arial"/>
                <w:b w:val="0"/>
                <w:sz w:val="17"/>
              </w:rPr>
              <w:t>Provides accurate information, follows joining instructions, participates honestly, raises support needs early and complies with course rules.</w:t>
            </w:r>
          </w:p>
        </w:tc>
      </w:tr>
      <w:tr>
        <w:tc>
          <w:tcPr>
            <w:tcW w:type="dxa" w:w="5040"/>
          </w:tcPr>
          <w:p>
            <w:r/>
            <w:r>
              <w:rPr>
                <w:rFonts w:ascii="Arial" w:hAnsi="Arial"/>
                <w:b/>
                <w:sz w:val="17"/>
              </w:rPr>
              <w:t>Data Protection Lead</w:t>
            </w:r>
          </w:p>
        </w:tc>
        <w:tc>
          <w:tcPr>
            <w:tcW w:type="dxa" w:w="5040"/>
          </w:tcPr>
          <w:p>
            <w:r/>
            <w:r>
              <w:rPr>
                <w:rFonts w:ascii="Arial" w:hAnsi="Arial"/>
                <w:b w:val="0"/>
                <w:sz w:val="17"/>
              </w:rPr>
              <w:t>Advises on learner records, retention, privacy notices, data sharing, security and breach escalation.</w:t>
            </w:r>
          </w:p>
        </w:tc>
      </w:tr>
    </w:tbl>
    <w:p/>
    <w:p>
      <w:pPr>
        <w:pStyle w:val="Heading1"/>
      </w:pPr>
      <w:r>
        <w:t>6. Procedure</w:t>
      </w:r>
    </w:p>
    <w:p>
      <w:pPr>
        <w:pStyle w:val="Heading2"/>
      </w:pPr>
      <w:r>
        <w:t>Examples of malpractice</w:t>
      </w:r>
    </w:p>
    <w:p>
      <w:pPr>
        <w:pStyle w:val="ListBullet"/>
        <w:spacing w:after="60" w:line="252" w:lineRule="auto"/>
      </w:pPr>
      <w:r>
        <w:rPr>
          <w:rFonts w:ascii="Arial" w:hAnsi="Arial"/>
          <w:color w:val="444444"/>
          <w:sz w:val="20"/>
        </w:rPr>
        <w:t>Impersonation, account sharing, copying answers, collusion, falsifying attendance, using unauthorised support, altering certificates, using another learner’s work, deliberately giving false information, pressuring staff to issue certificates, and staff failing to follow assessment rules.</w:t>
      </w:r>
    </w:p>
    <w:p>
      <w:pPr>
        <w:pStyle w:val="Heading2"/>
      </w:pPr>
      <w:r>
        <w:t>Prevention</w:t>
      </w:r>
    </w:p>
    <w:p>
      <w:pPr>
        <w:pStyle w:val="ListBullet"/>
        <w:spacing w:after="60" w:line="252" w:lineRule="auto"/>
      </w:pPr>
      <w:r>
        <w:rPr>
          <w:rFonts w:ascii="Arial" w:hAnsi="Arial"/>
          <w:color w:val="444444"/>
          <w:sz w:val="20"/>
        </w:rPr>
        <w:t>Use clear learner instructions, controlled certificate templates, attendance records, trainer briefings, access controls and sample quality checks.</w:t>
      </w:r>
    </w:p>
    <w:p>
      <w:pPr>
        <w:pStyle w:val="ListBullet"/>
        <w:spacing w:after="60" w:line="252" w:lineRule="auto"/>
      </w:pPr>
      <w:r>
        <w:rPr>
          <w:rFonts w:ascii="Arial" w:hAnsi="Arial"/>
          <w:color w:val="444444"/>
          <w:sz w:val="20"/>
        </w:rPr>
        <w:t>Make learners aware that dishonest activity may lead to certificate withdrawal, employer notification and removal from training.</w:t>
      </w:r>
    </w:p>
    <w:p>
      <w:pPr>
        <w:pStyle w:val="Heading2"/>
      </w:pPr>
      <w:r>
        <w:t>Reporting concerns</w:t>
      </w:r>
    </w:p>
    <w:p>
      <w:pPr>
        <w:spacing w:after="120" w:line="259" w:lineRule="auto"/>
      </w:pPr>
      <w:r>
        <w:rPr>
          <w:rFonts w:ascii="Arial" w:hAnsi="Arial"/>
          <w:color w:val="444444"/>
          <w:sz w:val="20"/>
        </w:rPr>
        <w:t xml:space="preserve">Any staff member who suspects </w:t>
      </w:r>
      <w:r>
        <w:rPr>
          <w:rFonts w:ascii="Arial" w:hAnsi="Arial"/>
          <w:b/>
          <w:color w:val="444444"/>
          <w:sz w:val="20"/>
        </w:rPr>
        <w:t>malpractice</w:t>
      </w:r>
      <w:r>
        <w:rPr>
          <w:rFonts w:ascii="Arial" w:hAnsi="Arial"/>
          <w:color w:val="444444"/>
          <w:sz w:val="20"/>
        </w:rPr>
        <w:t xml:space="preserve"> must record the concern and report it to the Service Lead. Urgent </w:t>
      </w:r>
      <w:r>
        <w:rPr>
          <w:rFonts w:ascii="Arial" w:hAnsi="Arial"/>
          <w:b/>
          <w:color w:val="444444"/>
          <w:sz w:val="20"/>
        </w:rPr>
        <w:t>safeguarding</w:t>
      </w:r>
      <w:r>
        <w:rPr>
          <w:rFonts w:ascii="Arial" w:hAnsi="Arial"/>
          <w:color w:val="444444"/>
          <w:sz w:val="20"/>
        </w:rPr>
        <w:t xml:space="preserve">, criminal or data breach issues must be escalated immediately using the relevant </w:t>
      </w:r>
      <w:r>
        <w:rPr>
          <w:rFonts w:ascii="Arial" w:hAnsi="Arial"/>
          <w:b/>
          <w:color w:val="444444"/>
          <w:sz w:val="20"/>
        </w:rPr>
        <w:t>Brandso Group</w:t>
      </w:r>
      <w:r>
        <w:rPr>
          <w:rFonts w:ascii="Arial" w:hAnsi="Arial"/>
          <w:color w:val="444444"/>
          <w:sz w:val="20"/>
        </w:rPr>
        <w:t xml:space="preserve"> procedure.</w:t>
      </w:r>
    </w:p>
    <w:p>
      <w:pPr>
        <w:pStyle w:val="Heading2"/>
      </w:pPr>
      <w:r>
        <w:t>Investigation</w:t>
      </w:r>
    </w:p>
    <w:p>
      <w:pPr>
        <w:spacing w:after="120" w:line="259" w:lineRule="auto"/>
      </w:pPr>
      <w:r>
        <w:rPr>
          <w:rFonts w:ascii="Arial" w:hAnsi="Arial"/>
          <w:color w:val="444444"/>
          <w:sz w:val="20"/>
        </w:rPr>
        <w:t>The Service Lead should secure evidence, review logs and records, speak to relevant individuals where appropriate, avoid conflicts of interest and reach a proportionate decision on the balance of available evidence.</w:t>
      </w:r>
    </w:p>
    <w:p>
      <w:pPr>
        <w:pStyle w:val="Heading2"/>
      </w:pPr>
      <w:r>
        <w:t>Outcomes</w:t>
      </w:r>
    </w:p>
    <w:p>
      <w:pPr>
        <w:spacing w:after="120" w:line="259" w:lineRule="auto"/>
      </w:pPr>
      <w:r>
        <w:rPr>
          <w:rFonts w:ascii="Arial" w:hAnsi="Arial"/>
          <w:color w:val="444444"/>
          <w:sz w:val="20"/>
        </w:rPr>
        <w:t>Possible outcomes include no further action, warning, re</w:t>
      </w:r>
      <w:r>
        <w:rPr>
          <w:rFonts w:ascii="Arial" w:hAnsi="Arial"/>
          <w:b/>
          <w:color w:val="444444"/>
          <w:sz w:val="20"/>
        </w:rPr>
        <w:t>assessment</w:t>
      </w:r>
      <w:r>
        <w:rPr>
          <w:rFonts w:ascii="Arial" w:hAnsi="Arial"/>
          <w:color w:val="444444"/>
          <w:sz w:val="20"/>
        </w:rPr>
        <w:t xml:space="preserve">, refusal of </w:t>
      </w:r>
      <w:r>
        <w:rPr>
          <w:rFonts w:ascii="Arial" w:hAnsi="Arial"/>
          <w:b/>
          <w:color w:val="444444"/>
          <w:sz w:val="20"/>
        </w:rPr>
        <w:t>certificate</w:t>
      </w:r>
      <w:r>
        <w:rPr>
          <w:rFonts w:ascii="Arial" w:hAnsi="Arial"/>
          <w:color w:val="444444"/>
          <w:sz w:val="20"/>
        </w:rPr>
        <w:t xml:space="preserve">, withdrawal of </w:t>
      </w:r>
      <w:r>
        <w:rPr>
          <w:rFonts w:ascii="Arial" w:hAnsi="Arial"/>
          <w:b/>
          <w:color w:val="444444"/>
          <w:sz w:val="20"/>
        </w:rPr>
        <w:t>certificate</w:t>
      </w:r>
      <w:r>
        <w:rPr>
          <w:rFonts w:ascii="Arial" w:hAnsi="Arial"/>
          <w:color w:val="444444"/>
          <w:sz w:val="20"/>
        </w:rPr>
        <w:t xml:space="preserve">, removal from </w:t>
      </w:r>
      <w:r>
        <w:rPr>
          <w:rFonts w:ascii="Arial" w:hAnsi="Arial"/>
          <w:b/>
          <w:color w:val="444444"/>
          <w:sz w:val="20"/>
        </w:rPr>
        <w:t>course</w:t>
      </w:r>
      <w:r>
        <w:rPr>
          <w:rFonts w:ascii="Arial" w:hAnsi="Arial"/>
          <w:color w:val="444444"/>
          <w:sz w:val="20"/>
        </w:rPr>
        <w:t xml:space="preserve">, </w:t>
      </w:r>
      <w:r>
        <w:rPr>
          <w:rFonts w:ascii="Arial" w:hAnsi="Arial"/>
          <w:b/>
          <w:color w:val="444444"/>
          <w:sz w:val="20"/>
        </w:rPr>
        <w:t>employer</w:t>
      </w:r>
      <w:r>
        <w:rPr>
          <w:rFonts w:ascii="Arial" w:hAnsi="Arial"/>
          <w:color w:val="444444"/>
          <w:sz w:val="20"/>
        </w:rPr>
        <w:t xml:space="preserve"> notification, refund refusal, staff action, data breach escalation or referral to an external awarding </w:t>
      </w:r>
      <w:r>
        <w:rPr>
          <w:rFonts w:ascii="Arial" w:hAnsi="Arial"/>
          <w:b/>
          <w:color w:val="444444"/>
          <w:sz w:val="20"/>
        </w:rPr>
        <w:t>organisation</w:t>
      </w:r>
      <w:r>
        <w:rPr>
          <w:rFonts w:ascii="Arial" w:hAnsi="Arial"/>
          <w:color w:val="444444"/>
          <w:sz w:val="20"/>
        </w:rPr>
        <w:t xml:space="preserve"> where relevant.</w:t>
      </w:r>
    </w:p>
    <w:p>
      <w:pPr>
        <w:pStyle w:val="Heading1"/>
      </w:pPr>
      <w:r>
        <w:t>7. Required records and evidence</w:t>
      </w:r>
    </w:p>
    <w:p>
      <w:pPr>
        <w:pStyle w:val="ListBullet"/>
        <w:spacing w:after="60" w:line="252" w:lineRule="auto"/>
      </w:pPr>
      <w:r>
        <w:rPr>
          <w:rFonts w:ascii="Arial" w:hAnsi="Arial"/>
          <w:color w:val="444444"/>
          <w:sz w:val="20"/>
        </w:rPr>
        <w:t>Malpractice report</w:t>
      </w:r>
    </w:p>
    <w:p>
      <w:pPr>
        <w:pStyle w:val="ListBullet"/>
        <w:spacing w:after="60" w:line="252" w:lineRule="auto"/>
      </w:pPr>
      <w:r>
        <w:rPr>
          <w:rFonts w:ascii="Arial" w:hAnsi="Arial"/>
          <w:color w:val="444444"/>
          <w:sz w:val="20"/>
        </w:rPr>
        <w:t>Evidence screenshots or logs</w:t>
      </w:r>
    </w:p>
    <w:p>
      <w:pPr>
        <w:pStyle w:val="ListBullet"/>
        <w:spacing w:after="60" w:line="252" w:lineRule="auto"/>
      </w:pPr>
      <w:r>
        <w:rPr>
          <w:rFonts w:ascii="Arial" w:hAnsi="Arial"/>
          <w:color w:val="444444"/>
          <w:sz w:val="20"/>
        </w:rPr>
        <w:t>Attendance and assessment records</w:t>
      </w:r>
    </w:p>
    <w:p>
      <w:pPr>
        <w:pStyle w:val="ListBullet"/>
        <w:spacing w:after="60" w:line="252" w:lineRule="auto"/>
      </w:pPr>
      <w:r>
        <w:rPr>
          <w:rFonts w:ascii="Arial" w:hAnsi="Arial"/>
          <w:color w:val="444444"/>
          <w:sz w:val="20"/>
        </w:rPr>
        <w:t>Investigation notes</w:t>
      </w:r>
    </w:p>
    <w:p>
      <w:pPr>
        <w:pStyle w:val="ListBullet"/>
        <w:spacing w:after="60" w:line="252" w:lineRule="auto"/>
      </w:pPr>
      <w:r>
        <w:rPr>
          <w:rFonts w:ascii="Arial" w:hAnsi="Arial"/>
          <w:color w:val="444444"/>
          <w:sz w:val="20"/>
        </w:rPr>
        <w:t>Decision and rationale</w:t>
      </w:r>
    </w:p>
    <w:p>
      <w:pPr>
        <w:pStyle w:val="ListBullet"/>
        <w:spacing w:after="60" w:line="252" w:lineRule="auto"/>
      </w:pPr>
      <w:r>
        <w:rPr>
          <w:rFonts w:ascii="Arial" w:hAnsi="Arial"/>
          <w:color w:val="444444"/>
          <w:sz w:val="20"/>
        </w:rPr>
        <w:t>Learner/employer communication</w:t>
      </w:r>
    </w:p>
    <w:p>
      <w:pPr>
        <w:pStyle w:val="ListBullet"/>
        <w:spacing w:after="60" w:line="252" w:lineRule="auto"/>
      </w:pPr>
      <w:r>
        <w:rPr>
          <w:rFonts w:ascii="Arial" w:hAnsi="Arial"/>
          <w:color w:val="444444"/>
          <w:sz w:val="20"/>
        </w:rPr>
        <w:t>Certificate withdrawal record</w:t>
      </w:r>
    </w:p>
    <w:p>
      <w:pPr>
        <w:pStyle w:val="ListBullet"/>
        <w:spacing w:after="60" w:line="252" w:lineRule="auto"/>
      </w:pPr>
      <w:r>
        <w:rPr>
          <w:rFonts w:ascii="Arial" w:hAnsi="Arial"/>
          <w:color w:val="444444"/>
          <w:sz w:val="20"/>
        </w:rPr>
        <w:t>External notification where required</w:t>
      </w:r>
    </w:p>
    <w:p>
      <w:pPr>
        <w:pStyle w:val="Heading1"/>
      </w:pPr>
      <w:r>
        <w:t>8. Monitoring, review and improvement</w:t>
      </w:r>
    </w:p>
    <w:p>
      <w:pPr>
        <w:spacing w:after="120" w:line="259" w:lineRule="auto"/>
      </w:pPr>
      <w:r>
        <w:rPr>
          <w:rFonts w:ascii="Arial" w:hAnsi="Arial"/>
          <w:color w:val="444444"/>
          <w:sz w:val="20"/>
        </w:rPr>
        <w:t xml:space="preserve">Malpractice cases will be reviewed to strengthen </w:t>
      </w:r>
      <w:r>
        <w:rPr>
          <w:rFonts w:ascii="Arial" w:hAnsi="Arial"/>
          <w:b/>
          <w:color w:val="444444"/>
          <w:sz w:val="20"/>
        </w:rPr>
        <w:t>assessment</w:t>
      </w:r>
      <w:r>
        <w:rPr>
          <w:rFonts w:ascii="Arial" w:hAnsi="Arial"/>
          <w:color w:val="444444"/>
          <w:sz w:val="20"/>
        </w:rPr>
        <w:t xml:space="preserve"> design, identity checks, portal controls, trainer </w:t>
      </w:r>
      <w:r>
        <w:rPr>
          <w:rFonts w:ascii="Arial" w:hAnsi="Arial"/>
          <w:b/>
          <w:color w:val="444444"/>
          <w:sz w:val="20"/>
        </w:rPr>
        <w:t>training</w:t>
      </w:r>
      <w:r>
        <w:rPr>
          <w:rFonts w:ascii="Arial" w:hAnsi="Arial"/>
          <w:color w:val="444444"/>
          <w:sz w:val="20"/>
        </w:rPr>
        <w:t xml:space="preserve"> and </w:t>
      </w:r>
      <w:r>
        <w:rPr>
          <w:rFonts w:ascii="Arial" w:hAnsi="Arial"/>
          <w:b/>
          <w:color w:val="444444"/>
          <w:sz w:val="20"/>
        </w:rPr>
        <w:t>certificate</w:t>
      </w:r>
      <w:r>
        <w:rPr>
          <w:rFonts w:ascii="Arial" w:hAnsi="Arial"/>
          <w:color w:val="444444"/>
          <w:sz w:val="20"/>
        </w:rPr>
        <w:t xml:space="preserve"> security.</w:t>
      </w:r>
    </w:p>
    <w:p>
      <w:pPr>
        <w:pStyle w:val="Heading1"/>
      </w:pPr>
      <w:r>
        <w:t>9. Related documents</w:t>
      </w:r>
    </w:p>
    <w:p>
      <w:pPr>
        <w:pStyle w:val="ListBullet"/>
        <w:spacing w:after="60" w:line="252" w:lineRule="auto"/>
      </w:pPr>
      <w:r>
        <w:rPr>
          <w:rFonts w:ascii="Arial" w:hAnsi="Arial"/>
          <w:color w:val="444444"/>
          <w:sz w:val="20"/>
        </w:rPr>
        <w:t>Brandso Group Terms of Service</w:t>
      </w:r>
    </w:p>
    <w:p>
      <w:pPr>
        <w:pStyle w:val="ListBullet"/>
        <w:spacing w:after="60" w:line="252" w:lineRule="auto"/>
      </w:pPr>
      <w:r>
        <w:rPr>
          <w:rFonts w:ascii="Arial" w:hAnsi="Arial"/>
          <w:color w:val="444444"/>
          <w:sz w:val="20"/>
        </w:rPr>
        <w:t>Brandso Group Privacy Policy</w:t>
      </w:r>
    </w:p>
    <w:p>
      <w:pPr>
        <w:pStyle w:val="ListBullet"/>
        <w:spacing w:after="60" w:line="252" w:lineRule="auto"/>
      </w:pPr>
      <w:r>
        <w:rPr>
          <w:rFonts w:ascii="Arial" w:hAnsi="Arial"/>
          <w:color w:val="444444"/>
          <w:sz w:val="20"/>
        </w:rPr>
        <w:t>Data Protection Policy</w:t>
      </w:r>
    </w:p>
    <w:p>
      <w:pPr>
        <w:pStyle w:val="ListBullet"/>
        <w:spacing w:after="60" w:line="252" w:lineRule="auto"/>
      </w:pPr>
      <w:r>
        <w:rPr>
          <w:rFonts w:ascii="Arial" w:hAnsi="Arial"/>
          <w:color w:val="444444"/>
          <w:sz w:val="20"/>
        </w:rPr>
        <w:t>Customer Service and Complaints Policy</w:t>
      </w:r>
    </w:p>
    <w:p>
      <w:pPr>
        <w:pStyle w:val="ListBullet"/>
        <w:spacing w:after="60" w:line="252" w:lineRule="auto"/>
      </w:pPr>
      <w:r>
        <w:rPr>
          <w:rFonts w:ascii="Arial" w:hAnsi="Arial"/>
          <w:color w:val="444444"/>
          <w:sz w:val="20"/>
        </w:rPr>
        <w:t>Refund and Cancellation Policy</w:t>
      </w:r>
    </w:p>
    <w:p>
      <w:pPr>
        <w:pStyle w:val="ListBullet"/>
        <w:spacing w:after="60" w:line="252" w:lineRule="auto"/>
      </w:pPr>
      <w:r>
        <w:rPr>
          <w:rFonts w:ascii="Arial" w:hAnsi="Arial"/>
          <w:color w:val="444444"/>
          <w:sz w:val="20"/>
        </w:rPr>
        <w:t>Safeguarding Concern Escalation Policy</w:t>
      </w:r>
    </w:p>
    <w:p>
      <w:pPr>
        <w:pStyle w:val="ListBullet"/>
        <w:spacing w:after="60" w:line="252" w:lineRule="auto"/>
      </w:pPr>
      <w:r>
        <w:rPr>
          <w:rFonts w:ascii="Arial" w:hAnsi="Arial"/>
          <w:color w:val="444444"/>
          <w:sz w:val="20"/>
        </w:rPr>
        <w:t>Document Control Policy</w:t>
      </w:r>
    </w:p>
    <w:p>
      <w:pPr>
        <w:pStyle w:val="Heading1"/>
      </w:pPr>
      <w:r>
        <w:t>10. Approval and version control</w:t>
      </w:r>
    </w:p>
    <w:p>
      <w:pPr>
        <w:spacing w:after="120" w:line="259" w:lineRule="auto"/>
      </w:pPr>
      <w:r>
        <w:rPr>
          <w:rFonts w:ascii="Arial" w:hAnsi="Arial"/>
          <w:color w:val="444444"/>
          <w:sz w:val="20"/>
        </w:rPr>
        <w:t>Approved by Simeon Ologeh on 10/06/2026. Version 1.0. The controlled copy is held by Brandso Group Limited.</w:t>
      </w:r>
    </w:p>
    <w:sectPr w:rsidR="00FC693F" w:rsidRPr="0006063C" w:rsidSect="00034616">
      <w:headerReference w:type="default" r:id="rId9"/>
      <w:footerReference w:type="default" r:id="rId10"/>
      <w:pgSz w:w="12240" w:h="15840"/>
      <w:pgMar w:top="1037" w:right="1080" w:bottom="936" w:left="1080"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444444"/>
        <w:sz w:val="16"/>
      </w:rPr>
      <w:t xml:space="preserve">Brandso Group Limited | Company No. 15970239 | Approved: 10/06/2026 | Page </w:t>
    </w:r>
    <w:r>
      <w:fldChar w:fldCharType="begin"/>
      <w:instrText xml:space="preserve">PAGE</w:instrText>
      <w:fldChar w:fldCharType="end"/>
    </w:r>
    <w:r>
      <w:rPr>
        <w:rFonts w:ascii="Arial" w:hAnsi="Arial"/>
        <w:color w:val="444444"/>
        <w:sz w:val="16"/>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1417320" cy="439252"/>
          <wp:docPr id="1" name="Picture 1"/>
          <wp:cNvGraphicFramePr>
            <a:graphicFrameLocks noChangeAspect="1"/>
          </wp:cNvGraphicFramePr>
          <a:graphic>
            <a:graphicData uri="http://schemas.openxmlformats.org/drawingml/2006/picture">
              <pic:pic>
                <pic:nvPicPr>
                  <pic:cNvPr id="0" name="Screenshot 2026-06-06 103125.png"/>
                  <pic:cNvPicPr/>
                </pic:nvPicPr>
                <pic:blipFill>
                  <a:blip r:embed="rId1"/>
                  <a:stretch>
                    <a:fillRect/>
                  </a:stretch>
                </pic:blipFill>
                <pic:spPr>
                  <a:xfrm>
                    <a:off x="0" y="0"/>
                    <a:ext cx="1417320" cy="439252"/>
                  </a:xfrm>
                  <a:prstGeom prst="rect"/>
                </pic:spPr>
              </pic:pic>
            </a:graphicData>
          </a:graphic>
        </wp:inline>
      </w:drawing>
    </w:r>
    <w:r>
      <w:rPr>
        <w:rFonts w:ascii="Arial" w:hAnsi="Arial"/>
        <w:color w:val="444444"/>
        <w:sz w:val="16"/>
      </w:rPr>
      <w:t xml:space="preserve">   ProCare Hub Service Documents | ProCare Hub Malpractice and Plagiarism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Black" w:hAnsi="Arial Black" w:eastAsia="Arial Black"/>
      <w:b/>
      <w:bCs/>
      <w:color w:val="00594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4264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F27F02"/>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Black" w:hAnsi="Arial Black" w:eastAsia="Arial Black"/>
      <w:b/>
      <w:color w:val="142644"/>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