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2423160" cy="750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6-06-06 10312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5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spacing w:after="160"/>
      </w:pPr>
      <w:r>
        <w:t>ProCare Hub Non-Attendance Policy</w:t>
      </w:r>
    </w:p>
    <w:p>
      <w:r>
        <w:rPr>
          <w:rFonts w:ascii="Arial" w:hAnsi="Arial"/>
          <w:color w:val="444444"/>
          <w:sz w:val="24"/>
        </w:rPr>
        <w:t>No-shows, late arrival, early departure and failure to complete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title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Non-Attendance Policy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Applies to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Hub, Brandso Group Limited, learners, employer clients, trainers, assessors, contractors and relevant Brandso subsidiaries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Document owner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ProCare Hub Service Lead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Approved by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Simeon Ologeh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Approval date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10/06/2026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Version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1.0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Review frequency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Annual, or earlier following legal, regulatory, safeguarding, course, platform or service change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Legal jurisdiction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England and Wales</w:t>
            </w:r>
          </w:p>
        </w:tc>
      </w:tr>
      <w:tr>
        <w:tc>
          <w:tcPr>
            <w:tcW w:type="dxa" w:w="5040"/>
            <w:shd w:fill="142644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17"/>
              </w:rPr>
              <w:t>Contact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rFonts w:ascii="Arial" w:hAnsi="Arial"/>
                <w:b w:val="0"/>
                <w:sz w:val="17"/>
              </w:rPr>
              <w:t>info@brandso.co.uk | 0333 335 5919</w:t>
            </w:r>
          </w:p>
        </w:tc>
      </w:tr>
    </w:tbl>
    <w:p/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forms part of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Policy Library. It has been prepared for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, a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service operated by </w:t>
      </w:r>
      <w:r>
        <w:rPr>
          <w:rFonts w:ascii="Arial" w:hAnsi="Arial"/>
          <w:b/>
          <w:color w:val="444444"/>
          <w:sz w:val="20"/>
        </w:rPr>
        <w:t>Brandso Group Limited</w:t>
      </w:r>
      <w:r>
        <w:rPr>
          <w:rFonts w:ascii="Arial" w:hAnsi="Arial"/>
          <w:color w:val="444444"/>
          <w:sz w:val="20"/>
        </w:rPr>
        <w:t xml:space="preserve">, company number 15970239, registered office Unit 6, 33 Hungerhill Road, Nottingham, England, NG3 4NB, </w:t>
      </w:r>
      <w:r>
        <w:rPr>
          <w:rFonts w:ascii="Arial" w:hAnsi="Arial"/>
          <w:b/>
          <w:color w:val="444444"/>
          <w:sz w:val="20"/>
        </w:rPr>
        <w:t>ICO</w:t>
      </w:r>
      <w:r>
        <w:rPr>
          <w:rFonts w:ascii="Arial" w:hAnsi="Arial"/>
          <w:color w:val="444444"/>
          <w:sz w:val="20"/>
        </w:rPr>
        <w:t xml:space="preserve"> registration number ZC142984.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supports safe, fair, consistent and commercially controlled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delivery. It is not a substitute for independent legal, regulatory, awarding body,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, employment or clinical advice where a matter is complex, disputed or high risk.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policy explains how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manages non-attendance, late arrival, early departure and failure to complete required </w:t>
      </w:r>
      <w:r>
        <w:rPr>
          <w:rFonts w:ascii="Arial" w:hAnsi="Arial"/>
          <w:b/>
          <w:color w:val="444444"/>
          <w:sz w:val="20"/>
        </w:rPr>
        <w:t>online</w:t>
      </w:r>
      <w:r>
        <w:rPr>
          <w:rFonts w:ascii="Arial" w:hAnsi="Arial"/>
          <w:color w:val="444444"/>
          <w:sz w:val="20"/>
        </w:rPr>
        <w:t xml:space="preserve">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within the access period.</w:t>
      </w:r>
    </w:p>
    <w:p>
      <w:pPr>
        <w:pStyle w:val="Heading1"/>
      </w:pPr>
      <w:r>
        <w:t>2. Scope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This document applies to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and any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staff, trainers, contractors,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clients or approved partners involved in the relevant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activity. It should be read alongside the </w:t>
      </w:r>
      <w:r>
        <w:rPr>
          <w:rFonts w:ascii="Arial" w:hAnsi="Arial"/>
          <w:b/>
          <w:color w:val="444444"/>
          <w:sz w:val="20"/>
        </w:rPr>
        <w:t>Brandso Group</w:t>
      </w:r>
      <w:r>
        <w:rPr>
          <w:rFonts w:ascii="Arial" w:hAnsi="Arial"/>
          <w:color w:val="444444"/>
          <w:sz w:val="20"/>
        </w:rPr>
        <w:t xml:space="preserve"> legal, data protection, customer service, finance, HR and </w:t>
      </w:r>
      <w:r>
        <w:rPr>
          <w:rFonts w:ascii="Arial" w:hAnsi="Arial"/>
          <w:b/>
          <w:color w:val="444444"/>
          <w:sz w:val="20"/>
        </w:rPr>
        <w:t>safeguarding</w:t>
      </w:r>
      <w:r>
        <w:rPr>
          <w:rFonts w:ascii="Arial" w:hAnsi="Arial"/>
          <w:color w:val="444444"/>
          <w:sz w:val="20"/>
        </w:rPr>
        <w:t>-related policy packs.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Classroom, live virtual and practical sessions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Online self-paced courses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block bookings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Bespoke sessions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Learners who attend but fail to meet participation requirements</w:t>
      </w:r>
    </w:p>
    <w:p>
      <w:pPr>
        <w:pStyle w:val="Heading1"/>
      </w:pPr>
      <w:r>
        <w:t>3. Policy statement and operating principles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must deliver </w:t>
      </w:r>
      <w:r>
        <w:rPr>
          <w:rFonts w:ascii="Arial" w:hAnsi="Arial"/>
          <w:b/>
          <w:color w:val="444444"/>
          <w:sz w:val="20"/>
        </w:rPr>
        <w:t>training</w:t>
      </w:r>
      <w:r>
        <w:rPr>
          <w:rFonts w:ascii="Arial" w:hAnsi="Arial"/>
          <w:color w:val="444444"/>
          <w:sz w:val="20"/>
        </w:rPr>
        <w:t xml:space="preserve"> that is clear, honest, safe, accessible, commercially fair and appropriate to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audience. Training materials must not overstate qualifications, guarantees, legal effect, inspection outcomes, employment prospects or regulatory approval.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Non-attendance must be recorded accurately and communicated fairly.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Certificates must not be issued where minimum attendance or completion requirements are not met.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clients should be informed where their nominated learners do not attend, subject to privacy and contract arrangements.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No-shows may be chargeable where a place, trainer or access has been reserved.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Exceptional circumstances may be considered on a case-by-case basis.</w:t>
      </w:r>
    </w:p>
    <w:p>
      <w:pPr>
        <w:pStyle w:val="Heading1"/>
      </w:pPr>
      <w:r>
        <w:t>4. Key risks and controls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Certificate integrity risk: issuing certificates to absent learners undermines trust.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compliance risk: employers may think mandatory training is complete when it is not.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Dispute risk: learners may claim they attended without evidence.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Commercial risk: no-shows waste course capacity.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Wellbeing risk: unexpected absence may indicate a safeguarding or welfare concern in some contexts.</w:t>
      </w:r>
    </w:p>
    <w:p>
      <w:pPr>
        <w:pStyle w:val="Heading1"/>
      </w:pPr>
      <w:r>
        <w:t>5. Roles and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5040"/>
            <w:shd w:fill="142644"/>
          </w:tcPr>
          <w:p>
            <w:r/>
            <w:r>
              <w:rPr>
                <w:rFonts w:ascii="Arial" w:hAnsi="Arial"/>
                <w:b/>
                <w:color w:val="FFFFFF"/>
                <w:sz w:val="18"/>
              </w:rPr>
              <w:t>Responsibility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Brandso Group Director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Approves the training governance framework, sets risk appetite and ensures ProCare Hub operates within Brandso Group standards.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ProCare Hub Service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Owns course delivery, learner experience, trainer allocation, quality checks, complaints, certificates and escalation.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Trainer / Assessor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Delivers training competently, marks assessments fairly, keeps records and reports safeguarding, malpractice, quality or conduct concerns.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Administrator / Support Team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Manages bookings, learner access, attendance records, certificates, enquiries, invoices and data updates.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Learner / Employer Client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Provides accurate information, follows joining instructions, participates honestly, raises support needs early and complies with course rules.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rFonts w:ascii="Arial" w:hAnsi="Arial"/>
                <w:b/>
                <w:sz w:val="17"/>
              </w:rPr>
              <w:t>Data Protection Lead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7"/>
              </w:rPr>
              <w:t>Advises on learner records, retention, privacy notices, data sharing, security and breach escalation.</w:t>
            </w:r>
          </w:p>
        </w:tc>
      </w:tr>
    </w:tbl>
    <w:p/>
    <w:p>
      <w:pPr>
        <w:pStyle w:val="Heading1"/>
      </w:pPr>
      <w:r>
        <w:t>6. Procedure</w:t>
      </w:r>
    </w:p>
    <w:p>
      <w:pPr>
        <w:pStyle w:val="Heading2"/>
      </w:pPr>
      <w:r>
        <w:t>Recording absence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Trainers must record non-attendance, late arrival, early departure and removal from session.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For online learning, the platform record should show access, progress, assessment attempts and completion status.</w:t>
      </w:r>
    </w:p>
    <w:p>
      <w:pPr>
        <w:pStyle w:val="Heading2"/>
      </w:pPr>
      <w:r>
        <w:t>Communication to learner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should be told why a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 xml:space="preserve"> cannot be issued and what options may be available, such as rebooking, transfer, further </w:t>
      </w:r>
      <w:r>
        <w:rPr>
          <w:rFonts w:ascii="Arial" w:hAnsi="Arial"/>
          <w:b/>
          <w:color w:val="444444"/>
          <w:sz w:val="20"/>
        </w:rPr>
        <w:t>assessment</w:t>
      </w:r>
      <w:r>
        <w:rPr>
          <w:rFonts w:ascii="Arial" w:hAnsi="Arial"/>
          <w:color w:val="444444"/>
          <w:sz w:val="20"/>
        </w:rPr>
        <w:t xml:space="preserve"> or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discussion.</w:t>
      </w:r>
    </w:p>
    <w:p>
      <w:pPr>
        <w:pStyle w:val="Heading2"/>
      </w:pPr>
      <w:r>
        <w:t>Communication to employer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Where the booking was made by an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, </w:t>
      </w:r>
      <w:r>
        <w:rPr>
          <w:rFonts w:ascii="Arial" w:hAnsi="Arial"/>
          <w:b/>
          <w:color w:val="444444"/>
          <w:sz w:val="20"/>
        </w:rPr>
        <w:t>ProCare Hub</w:t>
      </w:r>
      <w:r>
        <w:rPr>
          <w:rFonts w:ascii="Arial" w:hAnsi="Arial"/>
          <w:color w:val="444444"/>
          <w:sz w:val="20"/>
        </w:rPr>
        <w:t xml:space="preserve"> may inform the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that the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 xml:space="preserve"> did not attend, did not complete or is not eligible for a </w:t>
      </w:r>
      <w:r>
        <w:rPr>
          <w:rFonts w:ascii="Arial" w:hAnsi="Arial"/>
          <w:b/>
          <w:color w:val="444444"/>
          <w:sz w:val="20"/>
        </w:rPr>
        <w:t>certificate</w:t>
      </w:r>
      <w:r>
        <w:rPr>
          <w:rFonts w:ascii="Arial" w:hAnsi="Arial"/>
          <w:color w:val="444444"/>
          <w:sz w:val="20"/>
        </w:rPr>
        <w:t>. Information shared should be limited to what is necessary.</w:t>
      </w:r>
    </w:p>
    <w:p>
      <w:pPr>
        <w:pStyle w:val="Heading2"/>
      </w:pPr>
      <w:r>
        <w:t>Charges and transfers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No-shows are normally non-refundable unless there is a valid legal or exceptional reason. Transfer requests may be considered where made promptly and where </w:t>
      </w:r>
      <w:r>
        <w:rPr>
          <w:rFonts w:ascii="Arial" w:hAnsi="Arial"/>
          <w:b/>
          <w:color w:val="444444"/>
          <w:sz w:val="20"/>
        </w:rPr>
        <w:t>course</w:t>
      </w:r>
      <w:r>
        <w:rPr>
          <w:rFonts w:ascii="Arial" w:hAnsi="Arial"/>
          <w:color w:val="444444"/>
          <w:sz w:val="20"/>
        </w:rPr>
        <w:t xml:space="preserve"> capacity allows.</w:t>
      </w:r>
    </w:p>
    <w:p>
      <w:pPr>
        <w:pStyle w:val="Heading2"/>
      </w:pPr>
      <w:r>
        <w:t>Safeguarding or welfare escalation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If absence or departure raises immediate concern about a </w:t>
      </w:r>
      <w:r>
        <w:rPr>
          <w:rFonts w:ascii="Arial" w:hAnsi="Arial"/>
          <w:b/>
          <w:color w:val="444444"/>
          <w:sz w:val="20"/>
        </w:rPr>
        <w:t>learner</w:t>
      </w:r>
      <w:r>
        <w:rPr>
          <w:rFonts w:ascii="Arial" w:hAnsi="Arial"/>
          <w:color w:val="444444"/>
          <w:sz w:val="20"/>
        </w:rPr>
        <w:t>’s safety or the safety of others, staff must escalate using the Safeguarding Concern Escalation Policy or emergency procedures as appropriate.</w:t>
      </w:r>
    </w:p>
    <w:p>
      <w:pPr>
        <w:pStyle w:val="Heading1"/>
      </w:pPr>
      <w:r>
        <w:t>7. Required records and evidence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Attendance register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Platform logs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Trainer notes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Learner communication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Employer notification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Transfer/refund decision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escalation record where relevant</w:t>
      </w:r>
    </w:p>
    <w:p>
      <w:pPr>
        <w:pStyle w:val="Heading1"/>
      </w:pPr>
      <w:r>
        <w:t>8. Monitoring, review and improvement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 xml:space="preserve">Non-attendance data will be reviewed to identify unclear joining instructions, poor timing, technical issues, </w:t>
      </w:r>
      <w:r>
        <w:rPr>
          <w:rFonts w:ascii="Arial" w:hAnsi="Arial"/>
          <w:b/>
          <w:color w:val="444444"/>
          <w:sz w:val="20"/>
        </w:rPr>
        <w:t>employer</w:t>
      </w:r>
      <w:r>
        <w:rPr>
          <w:rFonts w:ascii="Arial" w:hAnsi="Arial"/>
          <w:color w:val="444444"/>
          <w:sz w:val="20"/>
        </w:rPr>
        <w:t xml:space="preserve"> release problems or repeat client patterns.</w:t>
      </w:r>
    </w:p>
    <w:p>
      <w:pPr>
        <w:pStyle w:val="Heading1"/>
      </w:pPr>
      <w:r>
        <w:t>9. Related documents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Terms of Service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Brandso Group Privacy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Data Protection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Customer Service and Complaints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Refund and Cancellation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Safeguarding Concern Escalation Policy</w:t>
      </w:r>
    </w:p>
    <w:p>
      <w:pPr>
        <w:pStyle w:val="ListBullet"/>
        <w:spacing w:after="60" w:line="252" w:lineRule="auto"/>
      </w:pPr>
      <w:r>
        <w:rPr>
          <w:rFonts w:ascii="Arial" w:hAnsi="Arial"/>
          <w:color w:val="444444"/>
          <w:sz w:val="20"/>
        </w:rPr>
        <w:t>Document Control Policy</w:t>
      </w:r>
    </w:p>
    <w:p>
      <w:pPr>
        <w:pStyle w:val="Heading1"/>
      </w:pPr>
      <w:r>
        <w:t>10. Approval and version control</w:t>
      </w:r>
    </w:p>
    <w:p>
      <w:pPr>
        <w:spacing w:after="120" w:line="259" w:lineRule="auto"/>
      </w:pPr>
      <w:r>
        <w:rPr>
          <w:rFonts w:ascii="Arial" w:hAnsi="Arial"/>
          <w:color w:val="444444"/>
          <w:sz w:val="20"/>
        </w:rPr>
        <w:t>Approved by Simeon Ologeh on 10/06/2026. Version 1.0. The controlled copy is held by Brandso Group Limited.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37" w:right="1080" w:bottom="936" w:left="1080" w:header="403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44444"/>
        <w:sz w:val="16"/>
      </w:rPr>
      <w:t xml:space="preserve">Brandso Group Limited | Company No. 15970239 | Approved: 10/06/2026 | Page </w:t>
    </w:r>
    <w:r>
      <w:fldChar w:fldCharType="begin"/>
      <w:instrText xml:space="preserve">PAGE</w:instrText>
      <w:fldChar w:fldCharType="end"/>
    </w:r>
    <w:r>
      <w:rPr>
        <w:rFonts w:ascii="Arial" w:hAnsi="Arial"/>
        <w:color w:val="444444"/>
        <w:sz w:val="16"/>
      </w:rPr>
      <w:t xml:space="preserve"> of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17320" cy="43925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Screenshot 2026-06-06 1031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7320" cy="439252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Arial" w:hAnsi="Arial"/>
        <w:color w:val="444444"/>
        <w:sz w:val="16"/>
      </w:rPr>
      <w:t xml:space="preserve">   ProCare Hub Service Documents | ProCare Hub Non-Attendance Policy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 Black" w:hAnsi="Arial Black" w:eastAsia="Arial Black"/>
      <w:b/>
      <w:bCs/>
      <w:color w:val="00594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426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F27F0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 Black" w:hAnsi="Arial Black" w:eastAsia="Arial Black"/>
      <w:b/>
      <w:color w:val="142644"/>
      <w:spacing w:val="5"/>
      <w:kern w:val="28"/>
      <w:sz w:val="4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rial" w:hAnsi="Arial" w:eastAsia="Arial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rial" w:hAnsi="Arial" w:eastAsia="Arial"/>
      <w:sz w:val="20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