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2423160" cy="750979"/>
            <wp:docPr id="1" name="Picture 1"/>
            <wp:cNvGraphicFramePr>
              <a:graphicFrameLocks noChangeAspect="1"/>
            </wp:cNvGraphicFramePr>
            <a:graphic>
              <a:graphicData uri="http://schemas.openxmlformats.org/drawingml/2006/picture">
                <pic:pic>
                  <pic:nvPicPr>
                    <pic:cNvPr id="0" name="Screenshot 2026-06-06 103125.png"/>
                    <pic:cNvPicPr/>
                  </pic:nvPicPr>
                  <pic:blipFill>
                    <a:blip r:embed="rId11"/>
                    <a:stretch>
                      <a:fillRect/>
                    </a:stretch>
                  </pic:blipFill>
                  <pic:spPr>
                    <a:xfrm>
                      <a:off x="0" y="0"/>
                      <a:ext cx="2423160" cy="750979"/>
                    </a:xfrm>
                    <a:prstGeom prst="rect"/>
                  </pic:spPr>
                </pic:pic>
              </a:graphicData>
            </a:graphic>
          </wp:inline>
        </w:drawing>
      </w:r>
    </w:p>
    <w:p>
      <w:pPr>
        <w:pStyle w:val="Title"/>
        <w:spacing w:after="160"/>
      </w:pPr>
      <w:r>
        <w:t>ProCare Hub Refund and Cancellation Policy</w:t>
      </w:r>
    </w:p>
    <w:p>
      <w:r>
        <w:rPr>
          <w:rFonts w:ascii="Arial" w:hAnsi="Arial"/>
          <w:color w:val="444444"/>
          <w:sz w:val="24"/>
        </w:rPr>
        <w:t>Refunds, cancellations, transfers, substitutions and unused course access</w:t>
      </w:r>
    </w:p>
    <w:tbl>
      <w:tblPr>
        <w:tblStyle w:val="TableGrid"/>
        <w:tblW w:type="auto" w:w="0"/>
        <w:jc w:val="center"/>
        <w:tblLook w:firstColumn="1" w:firstRow="1" w:lastColumn="0" w:lastRow="0" w:noHBand="0" w:noVBand="1" w:val="04A0"/>
      </w:tblPr>
      <w:tblGrid>
        <w:gridCol w:w="5040"/>
        <w:gridCol w:w="5040"/>
      </w:tblGrid>
      <w:tr>
        <w:tc>
          <w:tcPr>
            <w:tcW w:type="dxa" w:w="5040"/>
            <w:shd w:fill="142644"/>
            <w:vAlign w:val="center"/>
          </w:tcPr>
          <w:p>
            <w:r/>
            <w:r>
              <w:rPr>
                <w:rFonts w:ascii="Arial" w:hAnsi="Arial"/>
                <w:b/>
                <w:color w:val="FFFFFF"/>
                <w:sz w:val="17"/>
              </w:rPr>
              <w:t>Document title</w:t>
            </w:r>
          </w:p>
        </w:tc>
        <w:tc>
          <w:tcPr>
            <w:tcW w:type="dxa" w:w="5040"/>
            <w:vAlign w:val="center"/>
          </w:tcPr>
          <w:p>
            <w:r/>
            <w:r>
              <w:rPr>
                <w:rFonts w:ascii="Arial" w:hAnsi="Arial"/>
                <w:b w:val="0"/>
                <w:sz w:val="17"/>
              </w:rPr>
              <w:t>ProCare Hub Refund and Cancellation Policy</w:t>
            </w:r>
          </w:p>
        </w:tc>
      </w:tr>
      <w:tr>
        <w:tc>
          <w:tcPr>
            <w:tcW w:type="dxa" w:w="5040"/>
            <w:shd w:fill="142644"/>
            <w:vAlign w:val="center"/>
          </w:tcPr>
          <w:p>
            <w:r/>
            <w:r>
              <w:rPr>
                <w:rFonts w:ascii="Arial" w:hAnsi="Arial"/>
                <w:b/>
                <w:color w:val="FFFFFF"/>
                <w:sz w:val="17"/>
              </w:rPr>
              <w:t>Applies to</w:t>
            </w:r>
          </w:p>
        </w:tc>
        <w:tc>
          <w:tcPr>
            <w:tcW w:type="dxa" w:w="5040"/>
            <w:vAlign w:val="center"/>
          </w:tcPr>
          <w:p>
            <w:r/>
            <w:r>
              <w:rPr>
                <w:rFonts w:ascii="Arial" w:hAnsi="Arial"/>
                <w:b w:val="0"/>
                <w:sz w:val="17"/>
              </w:rPr>
              <w:t>ProCare Hub, Brandso Group Limited, learners, employer clients, trainers, assessors, contractors and relevant Brandso subsidiaries</w:t>
            </w:r>
          </w:p>
        </w:tc>
      </w:tr>
      <w:tr>
        <w:tc>
          <w:tcPr>
            <w:tcW w:type="dxa" w:w="5040"/>
            <w:shd w:fill="142644"/>
            <w:vAlign w:val="center"/>
          </w:tcPr>
          <w:p>
            <w:r/>
            <w:r>
              <w:rPr>
                <w:rFonts w:ascii="Arial" w:hAnsi="Arial"/>
                <w:b/>
                <w:color w:val="FFFFFF"/>
                <w:sz w:val="17"/>
              </w:rPr>
              <w:t>Document owner</w:t>
            </w:r>
          </w:p>
        </w:tc>
        <w:tc>
          <w:tcPr>
            <w:tcW w:type="dxa" w:w="5040"/>
            <w:vAlign w:val="center"/>
          </w:tcPr>
          <w:p>
            <w:r/>
            <w:r>
              <w:rPr>
                <w:rFonts w:ascii="Arial" w:hAnsi="Arial"/>
                <w:b w:val="0"/>
                <w:sz w:val="17"/>
              </w:rPr>
              <w:t>ProCare Hub Service Lead</w:t>
            </w:r>
          </w:p>
        </w:tc>
      </w:tr>
      <w:tr>
        <w:tc>
          <w:tcPr>
            <w:tcW w:type="dxa" w:w="5040"/>
            <w:shd w:fill="142644"/>
            <w:vAlign w:val="center"/>
          </w:tcPr>
          <w:p>
            <w:r/>
            <w:r>
              <w:rPr>
                <w:rFonts w:ascii="Arial" w:hAnsi="Arial"/>
                <w:b/>
                <w:color w:val="FFFFFF"/>
                <w:sz w:val="17"/>
              </w:rPr>
              <w:t>Approved by</w:t>
            </w:r>
          </w:p>
        </w:tc>
        <w:tc>
          <w:tcPr>
            <w:tcW w:type="dxa" w:w="5040"/>
            <w:vAlign w:val="center"/>
          </w:tcPr>
          <w:p>
            <w:r/>
            <w:r>
              <w:rPr>
                <w:rFonts w:ascii="Arial" w:hAnsi="Arial"/>
                <w:b w:val="0"/>
                <w:sz w:val="17"/>
              </w:rPr>
              <w:t>Simeon Ologeh</w:t>
            </w:r>
          </w:p>
        </w:tc>
      </w:tr>
      <w:tr>
        <w:tc>
          <w:tcPr>
            <w:tcW w:type="dxa" w:w="5040"/>
            <w:shd w:fill="142644"/>
            <w:vAlign w:val="center"/>
          </w:tcPr>
          <w:p>
            <w:r/>
            <w:r>
              <w:rPr>
                <w:rFonts w:ascii="Arial" w:hAnsi="Arial"/>
                <w:b/>
                <w:color w:val="FFFFFF"/>
                <w:sz w:val="17"/>
              </w:rPr>
              <w:t>Approval date</w:t>
            </w:r>
          </w:p>
        </w:tc>
        <w:tc>
          <w:tcPr>
            <w:tcW w:type="dxa" w:w="5040"/>
            <w:vAlign w:val="center"/>
          </w:tcPr>
          <w:p>
            <w:r/>
            <w:r>
              <w:rPr>
                <w:rFonts w:ascii="Arial" w:hAnsi="Arial"/>
                <w:b w:val="0"/>
                <w:sz w:val="17"/>
              </w:rPr>
              <w:t>10/06/2026</w:t>
            </w:r>
          </w:p>
        </w:tc>
      </w:tr>
      <w:tr>
        <w:tc>
          <w:tcPr>
            <w:tcW w:type="dxa" w:w="5040"/>
            <w:shd w:fill="142644"/>
            <w:vAlign w:val="center"/>
          </w:tcPr>
          <w:p>
            <w:r/>
            <w:r>
              <w:rPr>
                <w:rFonts w:ascii="Arial" w:hAnsi="Arial"/>
                <w:b/>
                <w:color w:val="FFFFFF"/>
                <w:sz w:val="17"/>
              </w:rPr>
              <w:t>Version</w:t>
            </w:r>
          </w:p>
        </w:tc>
        <w:tc>
          <w:tcPr>
            <w:tcW w:type="dxa" w:w="5040"/>
            <w:vAlign w:val="center"/>
          </w:tcPr>
          <w:p>
            <w:r/>
            <w:r>
              <w:rPr>
                <w:rFonts w:ascii="Arial" w:hAnsi="Arial"/>
                <w:b w:val="0"/>
                <w:sz w:val="17"/>
              </w:rPr>
              <w:t>1.0</w:t>
            </w:r>
          </w:p>
        </w:tc>
      </w:tr>
      <w:tr>
        <w:tc>
          <w:tcPr>
            <w:tcW w:type="dxa" w:w="5040"/>
            <w:shd w:fill="142644"/>
            <w:vAlign w:val="center"/>
          </w:tcPr>
          <w:p>
            <w:r/>
            <w:r>
              <w:rPr>
                <w:rFonts w:ascii="Arial" w:hAnsi="Arial"/>
                <w:b/>
                <w:color w:val="FFFFFF"/>
                <w:sz w:val="17"/>
              </w:rPr>
              <w:t>Review frequency</w:t>
            </w:r>
          </w:p>
        </w:tc>
        <w:tc>
          <w:tcPr>
            <w:tcW w:type="dxa" w:w="5040"/>
            <w:vAlign w:val="center"/>
          </w:tcPr>
          <w:p>
            <w:r/>
            <w:r>
              <w:rPr>
                <w:rFonts w:ascii="Arial" w:hAnsi="Arial"/>
                <w:b w:val="0"/>
                <w:sz w:val="17"/>
              </w:rPr>
              <w:t>Annual, or earlier following legal, regulatory, safeguarding, course, platform or service change</w:t>
            </w:r>
          </w:p>
        </w:tc>
      </w:tr>
      <w:tr>
        <w:tc>
          <w:tcPr>
            <w:tcW w:type="dxa" w:w="5040"/>
            <w:shd w:fill="142644"/>
            <w:vAlign w:val="center"/>
          </w:tcPr>
          <w:p>
            <w:r/>
            <w:r>
              <w:rPr>
                <w:rFonts w:ascii="Arial" w:hAnsi="Arial"/>
                <w:b/>
                <w:color w:val="FFFFFF"/>
                <w:sz w:val="17"/>
              </w:rPr>
              <w:t>Legal jurisdiction</w:t>
            </w:r>
          </w:p>
        </w:tc>
        <w:tc>
          <w:tcPr>
            <w:tcW w:type="dxa" w:w="5040"/>
            <w:vAlign w:val="center"/>
          </w:tcPr>
          <w:p>
            <w:r/>
            <w:r>
              <w:rPr>
                <w:rFonts w:ascii="Arial" w:hAnsi="Arial"/>
                <w:b w:val="0"/>
                <w:sz w:val="17"/>
              </w:rPr>
              <w:t>England and Wales</w:t>
            </w:r>
          </w:p>
        </w:tc>
      </w:tr>
      <w:tr>
        <w:tc>
          <w:tcPr>
            <w:tcW w:type="dxa" w:w="5040"/>
            <w:shd w:fill="142644"/>
            <w:vAlign w:val="center"/>
          </w:tcPr>
          <w:p>
            <w:r/>
            <w:r>
              <w:rPr>
                <w:rFonts w:ascii="Arial" w:hAnsi="Arial"/>
                <w:b/>
                <w:color w:val="FFFFFF"/>
                <w:sz w:val="17"/>
              </w:rPr>
              <w:t>Contact</w:t>
            </w:r>
          </w:p>
        </w:tc>
        <w:tc>
          <w:tcPr>
            <w:tcW w:type="dxa" w:w="5040"/>
            <w:vAlign w:val="center"/>
          </w:tcPr>
          <w:p>
            <w:r/>
            <w:r>
              <w:rPr>
                <w:rFonts w:ascii="Arial" w:hAnsi="Arial"/>
                <w:b w:val="0"/>
                <w:sz w:val="17"/>
              </w:rPr>
              <w:t>info@brandso.co.uk | 0333 335 5919</w:t>
            </w:r>
          </w:p>
        </w:tc>
      </w:tr>
    </w:tbl>
    <w:p/>
    <w:p>
      <w:pPr>
        <w:spacing w:after="120" w:line="259" w:lineRule="auto"/>
      </w:pPr>
      <w:r>
        <w:rPr>
          <w:rFonts w:ascii="Arial" w:hAnsi="Arial"/>
          <w:color w:val="444444"/>
          <w:sz w:val="20"/>
        </w:rPr>
        <w:t xml:space="preserve">This document forms part of the </w:t>
      </w:r>
      <w:r>
        <w:rPr>
          <w:rFonts w:ascii="Arial" w:hAnsi="Arial"/>
          <w:b/>
          <w:color w:val="444444"/>
          <w:sz w:val="20"/>
        </w:rPr>
        <w:t>Brandso Group</w:t>
      </w:r>
      <w:r>
        <w:rPr>
          <w:rFonts w:ascii="Arial" w:hAnsi="Arial"/>
          <w:color w:val="444444"/>
          <w:sz w:val="20"/>
        </w:rPr>
        <w:t xml:space="preserve"> Policy Library. It has been prepared for </w:t>
      </w:r>
      <w:r>
        <w:rPr>
          <w:rFonts w:ascii="Arial" w:hAnsi="Arial"/>
          <w:b/>
          <w:color w:val="444444"/>
          <w:sz w:val="20"/>
        </w:rPr>
        <w:t>ProCare Hub</w:t>
      </w:r>
      <w:r>
        <w:rPr>
          <w:rFonts w:ascii="Arial" w:hAnsi="Arial"/>
          <w:color w:val="444444"/>
          <w:sz w:val="20"/>
        </w:rPr>
        <w:t xml:space="preserve">, a </w:t>
      </w:r>
      <w:r>
        <w:rPr>
          <w:rFonts w:ascii="Arial" w:hAnsi="Arial"/>
          <w:b/>
          <w:color w:val="444444"/>
          <w:sz w:val="20"/>
        </w:rPr>
        <w:t>Brandso Group</w:t>
      </w:r>
      <w:r>
        <w:rPr>
          <w:rFonts w:ascii="Arial" w:hAnsi="Arial"/>
          <w:color w:val="444444"/>
          <w:sz w:val="20"/>
        </w:rPr>
        <w:t xml:space="preserve"> </w:t>
      </w:r>
      <w:r>
        <w:rPr>
          <w:rFonts w:ascii="Arial" w:hAnsi="Arial"/>
          <w:b/>
          <w:color w:val="444444"/>
          <w:sz w:val="20"/>
        </w:rPr>
        <w:t>training</w:t>
      </w:r>
      <w:r>
        <w:rPr>
          <w:rFonts w:ascii="Arial" w:hAnsi="Arial"/>
          <w:color w:val="444444"/>
          <w:sz w:val="20"/>
        </w:rPr>
        <w:t xml:space="preserve"> service operated by </w:t>
      </w:r>
      <w:r>
        <w:rPr>
          <w:rFonts w:ascii="Arial" w:hAnsi="Arial"/>
          <w:b/>
          <w:color w:val="444444"/>
          <w:sz w:val="20"/>
        </w:rPr>
        <w:t>Brandso Group Limited</w:t>
      </w:r>
      <w:r>
        <w:rPr>
          <w:rFonts w:ascii="Arial" w:hAnsi="Arial"/>
          <w:color w:val="444444"/>
          <w:sz w:val="20"/>
        </w:rPr>
        <w:t xml:space="preserve">, company number 15970239, registered office Unit 6, 33 Hungerhill Road, Nottingham, England, NG3 4NB, </w:t>
      </w:r>
      <w:r>
        <w:rPr>
          <w:rFonts w:ascii="Arial" w:hAnsi="Arial"/>
          <w:b/>
          <w:color w:val="444444"/>
          <w:sz w:val="20"/>
        </w:rPr>
        <w:t>ICO</w:t>
      </w:r>
      <w:r>
        <w:rPr>
          <w:rFonts w:ascii="Arial" w:hAnsi="Arial"/>
          <w:color w:val="444444"/>
          <w:sz w:val="20"/>
        </w:rPr>
        <w:t xml:space="preserve"> registration number ZC142984.</w:t>
      </w:r>
    </w:p>
    <w:p>
      <w:pPr>
        <w:spacing w:after="120" w:line="259" w:lineRule="auto"/>
      </w:pPr>
      <w:r>
        <w:rPr>
          <w:rFonts w:ascii="Arial" w:hAnsi="Arial"/>
          <w:color w:val="444444"/>
          <w:sz w:val="20"/>
        </w:rPr>
        <w:t xml:space="preserve">This document supports safe, fair, consistent and commercially controlled </w:t>
      </w:r>
      <w:r>
        <w:rPr>
          <w:rFonts w:ascii="Arial" w:hAnsi="Arial"/>
          <w:b/>
          <w:color w:val="444444"/>
          <w:sz w:val="20"/>
        </w:rPr>
        <w:t>training</w:t>
      </w:r>
      <w:r>
        <w:rPr>
          <w:rFonts w:ascii="Arial" w:hAnsi="Arial"/>
          <w:color w:val="444444"/>
          <w:sz w:val="20"/>
        </w:rPr>
        <w:t xml:space="preserve"> delivery. It is not a substitute for independent legal, regulatory, awarding body, </w:t>
      </w:r>
      <w:r>
        <w:rPr>
          <w:rFonts w:ascii="Arial" w:hAnsi="Arial"/>
          <w:b/>
          <w:color w:val="444444"/>
          <w:sz w:val="20"/>
        </w:rPr>
        <w:t>safeguarding</w:t>
      </w:r>
      <w:r>
        <w:rPr>
          <w:rFonts w:ascii="Arial" w:hAnsi="Arial"/>
          <w:color w:val="444444"/>
          <w:sz w:val="20"/>
        </w:rPr>
        <w:t>, employment or clinical advice where a matter is complex, disputed or high risk.</w:t>
      </w:r>
    </w:p>
    <w:p>
      <w:r>
        <w:br w:type="page"/>
      </w:r>
    </w:p>
    <w:p>
      <w:pPr>
        <w:pStyle w:val="Heading1"/>
      </w:pPr>
      <w:r>
        <w:t>1. Purpose</w:t>
      </w:r>
    </w:p>
    <w:p>
      <w:pPr>
        <w:spacing w:after="120" w:line="259" w:lineRule="auto"/>
      </w:pPr>
      <w:r>
        <w:rPr>
          <w:rFonts w:ascii="Arial" w:hAnsi="Arial"/>
          <w:color w:val="444444"/>
          <w:sz w:val="20"/>
        </w:rPr>
        <w:t xml:space="preserve">This policy sets the </w:t>
      </w:r>
      <w:r>
        <w:rPr>
          <w:rFonts w:ascii="Arial" w:hAnsi="Arial"/>
          <w:b/>
          <w:color w:val="444444"/>
          <w:sz w:val="20"/>
        </w:rPr>
        <w:t>ProCare Hub</w:t>
      </w:r>
      <w:r>
        <w:rPr>
          <w:rFonts w:ascii="Arial" w:hAnsi="Arial"/>
          <w:color w:val="444444"/>
          <w:sz w:val="20"/>
        </w:rPr>
        <w:t xml:space="preserve"> approach to refunds, cancellations, transfers, substitutions, late cancellations, unused </w:t>
      </w:r>
      <w:r>
        <w:rPr>
          <w:rFonts w:ascii="Arial" w:hAnsi="Arial"/>
          <w:b/>
          <w:color w:val="444444"/>
          <w:sz w:val="20"/>
        </w:rPr>
        <w:t>course</w:t>
      </w:r>
      <w:r>
        <w:rPr>
          <w:rFonts w:ascii="Arial" w:hAnsi="Arial"/>
          <w:color w:val="444444"/>
          <w:sz w:val="20"/>
        </w:rPr>
        <w:t xml:space="preserve"> access and non-attendance.</w:t>
      </w:r>
    </w:p>
    <w:p>
      <w:pPr>
        <w:pStyle w:val="Heading1"/>
      </w:pPr>
      <w:r>
        <w:t>2. Scope</w:t>
      </w:r>
    </w:p>
    <w:p>
      <w:pPr>
        <w:spacing w:after="120" w:line="259" w:lineRule="auto"/>
      </w:pPr>
      <w:r>
        <w:rPr>
          <w:rFonts w:ascii="Arial" w:hAnsi="Arial"/>
          <w:color w:val="444444"/>
          <w:sz w:val="20"/>
        </w:rPr>
        <w:t xml:space="preserve">This document applies to </w:t>
      </w:r>
      <w:r>
        <w:rPr>
          <w:rFonts w:ascii="Arial" w:hAnsi="Arial"/>
          <w:b/>
          <w:color w:val="444444"/>
          <w:sz w:val="20"/>
        </w:rPr>
        <w:t>ProCare Hub</w:t>
      </w:r>
      <w:r>
        <w:rPr>
          <w:rFonts w:ascii="Arial" w:hAnsi="Arial"/>
          <w:color w:val="444444"/>
          <w:sz w:val="20"/>
        </w:rPr>
        <w:t xml:space="preserve"> and any </w:t>
      </w:r>
      <w:r>
        <w:rPr>
          <w:rFonts w:ascii="Arial" w:hAnsi="Arial"/>
          <w:b/>
          <w:color w:val="444444"/>
          <w:sz w:val="20"/>
        </w:rPr>
        <w:t>Brandso Group</w:t>
      </w:r>
      <w:r>
        <w:rPr>
          <w:rFonts w:ascii="Arial" w:hAnsi="Arial"/>
          <w:color w:val="444444"/>
          <w:sz w:val="20"/>
        </w:rPr>
        <w:t xml:space="preserve"> staff, trainers, contractors, </w:t>
      </w:r>
      <w:r>
        <w:rPr>
          <w:rFonts w:ascii="Arial" w:hAnsi="Arial"/>
          <w:b/>
          <w:color w:val="444444"/>
          <w:sz w:val="20"/>
        </w:rPr>
        <w:t>learner</w:t>
      </w:r>
      <w:r>
        <w:rPr>
          <w:rFonts w:ascii="Arial" w:hAnsi="Arial"/>
          <w:color w:val="444444"/>
          <w:sz w:val="20"/>
        </w:rPr>
        <w:t xml:space="preserve">s, </w:t>
      </w:r>
      <w:r>
        <w:rPr>
          <w:rFonts w:ascii="Arial" w:hAnsi="Arial"/>
          <w:b/>
          <w:color w:val="444444"/>
          <w:sz w:val="20"/>
        </w:rPr>
        <w:t>employer</w:t>
      </w:r>
      <w:r>
        <w:rPr>
          <w:rFonts w:ascii="Arial" w:hAnsi="Arial"/>
          <w:color w:val="444444"/>
          <w:sz w:val="20"/>
        </w:rPr>
        <w:t xml:space="preserve"> clients or approved partners involved in the relevant </w:t>
      </w:r>
      <w:r>
        <w:rPr>
          <w:rFonts w:ascii="Arial" w:hAnsi="Arial"/>
          <w:b/>
          <w:color w:val="444444"/>
          <w:sz w:val="20"/>
        </w:rPr>
        <w:t>training</w:t>
      </w:r>
      <w:r>
        <w:rPr>
          <w:rFonts w:ascii="Arial" w:hAnsi="Arial"/>
          <w:color w:val="444444"/>
          <w:sz w:val="20"/>
        </w:rPr>
        <w:t xml:space="preserve"> activity. It should be read alongside the </w:t>
      </w:r>
      <w:r>
        <w:rPr>
          <w:rFonts w:ascii="Arial" w:hAnsi="Arial"/>
          <w:b/>
          <w:color w:val="444444"/>
          <w:sz w:val="20"/>
        </w:rPr>
        <w:t>Brandso Group</w:t>
      </w:r>
      <w:r>
        <w:rPr>
          <w:rFonts w:ascii="Arial" w:hAnsi="Arial"/>
          <w:color w:val="444444"/>
          <w:sz w:val="20"/>
        </w:rPr>
        <w:t xml:space="preserve"> legal, data protection, customer service, finance, HR and </w:t>
      </w:r>
      <w:r>
        <w:rPr>
          <w:rFonts w:ascii="Arial" w:hAnsi="Arial"/>
          <w:b/>
          <w:color w:val="444444"/>
          <w:sz w:val="20"/>
        </w:rPr>
        <w:t>safeguarding</w:t>
      </w:r>
      <w:r>
        <w:rPr>
          <w:rFonts w:ascii="Arial" w:hAnsi="Arial"/>
          <w:color w:val="444444"/>
          <w:sz w:val="20"/>
        </w:rPr>
        <w:t>-related policy packs.</w:t>
      </w:r>
    </w:p>
    <w:p>
      <w:pPr>
        <w:pStyle w:val="ListBullet"/>
        <w:spacing w:after="60" w:line="252" w:lineRule="auto"/>
      </w:pPr>
      <w:r>
        <w:rPr>
          <w:rFonts w:ascii="Arial" w:hAnsi="Arial"/>
          <w:color w:val="444444"/>
          <w:sz w:val="20"/>
        </w:rPr>
        <w:t>Direct learner purchases</w:t>
      </w:r>
    </w:p>
    <w:p>
      <w:pPr>
        <w:pStyle w:val="ListBullet"/>
        <w:spacing w:after="60" w:line="252" w:lineRule="auto"/>
      </w:pPr>
      <w:r>
        <w:rPr>
          <w:rFonts w:ascii="Arial" w:hAnsi="Arial"/>
          <w:color w:val="444444"/>
          <w:sz w:val="20"/>
        </w:rPr>
        <w:t>Employer block bookings</w:t>
      </w:r>
    </w:p>
    <w:p>
      <w:pPr>
        <w:pStyle w:val="ListBullet"/>
        <w:spacing w:after="60" w:line="252" w:lineRule="auto"/>
      </w:pPr>
      <w:r>
        <w:rPr>
          <w:rFonts w:ascii="Arial" w:hAnsi="Arial"/>
          <w:color w:val="444444"/>
          <w:sz w:val="20"/>
        </w:rPr>
        <w:t>Online courses and digital content access</w:t>
      </w:r>
    </w:p>
    <w:p>
      <w:pPr>
        <w:pStyle w:val="ListBullet"/>
        <w:spacing w:after="60" w:line="252" w:lineRule="auto"/>
      </w:pPr>
      <w:r>
        <w:rPr>
          <w:rFonts w:ascii="Arial" w:hAnsi="Arial"/>
          <w:color w:val="444444"/>
          <w:sz w:val="20"/>
        </w:rPr>
        <w:t>Live virtual and face-to-face courses</w:t>
      </w:r>
    </w:p>
    <w:p>
      <w:pPr>
        <w:pStyle w:val="ListBullet"/>
        <w:spacing w:after="60" w:line="252" w:lineRule="auto"/>
      </w:pPr>
      <w:r>
        <w:rPr>
          <w:rFonts w:ascii="Arial" w:hAnsi="Arial"/>
          <w:color w:val="444444"/>
          <w:sz w:val="20"/>
        </w:rPr>
        <w:t>Bespoke training, reserved trainer time and venue-based delivery</w:t>
      </w:r>
    </w:p>
    <w:p>
      <w:pPr>
        <w:pStyle w:val="Heading1"/>
      </w:pPr>
      <w:r>
        <w:t>3. Policy statement and operating principles</w:t>
      </w:r>
    </w:p>
    <w:p>
      <w:pPr>
        <w:spacing w:after="120" w:line="259" w:lineRule="auto"/>
      </w:pPr>
      <w:r>
        <w:rPr>
          <w:rFonts w:ascii="Arial" w:hAnsi="Arial"/>
          <w:color w:val="444444"/>
          <w:sz w:val="20"/>
        </w:rPr>
      </w:r>
      <w:r>
        <w:rPr>
          <w:rFonts w:ascii="Arial" w:hAnsi="Arial"/>
          <w:b/>
          <w:color w:val="444444"/>
          <w:sz w:val="20"/>
        </w:rPr>
        <w:t>ProCare Hub</w:t>
      </w:r>
      <w:r>
        <w:rPr>
          <w:rFonts w:ascii="Arial" w:hAnsi="Arial"/>
          <w:color w:val="444444"/>
          <w:sz w:val="20"/>
        </w:rPr>
        <w:t xml:space="preserve"> must deliver </w:t>
      </w:r>
      <w:r>
        <w:rPr>
          <w:rFonts w:ascii="Arial" w:hAnsi="Arial"/>
          <w:b/>
          <w:color w:val="444444"/>
          <w:sz w:val="20"/>
        </w:rPr>
        <w:t>training</w:t>
      </w:r>
      <w:r>
        <w:rPr>
          <w:rFonts w:ascii="Arial" w:hAnsi="Arial"/>
          <w:color w:val="444444"/>
          <w:sz w:val="20"/>
        </w:rPr>
        <w:t xml:space="preserve"> that is clear, honest, safe, accessible, commercially fair and appropriate to the </w:t>
      </w:r>
      <w:r>
        <w:rPr>
          <w:rFonts w:ascii="Arial" w:hAnsi="Arial"/>
          <w:b/>
          <w:color w:val="444444"/>
          <w:sz w:val="20"/>
        </w:rPr>
        <w:t>learner</w:t>
      </w:r>
      <w:r>
        <w:rPr>
          <w:rFonts w:ascii="Arial" w:hAnsi="Arial"/>
          <w:color w:val="444444"/>
          <w:sz w:val="20"/>
        </w:rPr>
        <w:t xml:space="preserve"> audience. Training materials must not overstate qualifications, guarantees, legal effect, inspection outcomes, employment prospects or regulatory approval.</w:t>
      </w:r>
    </w:p>
    <w:p>
      <w:pPr>
        <w:pStyle w:val="ListBullet"/>
        <w:spacing w:after="60" w:line="252" w:lineRule="auto"/>
      </w:pPr>
      <w:r>
        <w:rPr>
          <w:rFonts w:ascii="Arial" w:hAnsi="Arial"/>
          <w:color w:val="444444"/>
          <w:sz w:val="20"/>
        </w:rPr>
        <w:t>Refund rules must be clear before purchase or booking.</w:t>
      </w:r>
    </w:p>
    <w:p>
      <w:pPr>
        <w:pStyle w:val="ListBullet"/>
        <w:spacing w:after="60" w:line="252" w:lineRule="auto"/>
      </w:pPr>
      <w:r>
        <w:rPr>
          <w:rFonts w:ascii="Arial" w:hAnsi="Arial"/>
          <w:color w:val="444444"/>
          <w:sz w:val="20"/>
        </w:rPr>
        <w:t>Refund decisions must consider consumer rights, delivery status, access granted, reasonable costs and fairness.</w:t>
      </w:r>
    </w:p>
    <w:p>
      <w:pPr>
        <w:pStyle w:val="ListBullet"/>
        <w:spacing w:after="60" w:line="252" w:lineRule="auto"/>
      </w:pPr>
      <w:r>
        <w:rPr>
          <w:rFonts w:ascii="Arial" w:hAnsi="Arial"/>
          <w:color w:val="444444"/>
          <w:sz w:val="20"/>
        </w:rPr>
        <w:t>Digital course access may limit cancellation rights once access starts, subject to the information given to the customer and applicable law.</w:t>
      </w:r>
    </w:p>
    <w:p>
      <w:pPr>
        <w:pStyle w:val="ListBullet"/>
        <w:spacing w:after="60" w:line="252" w:lineRule="auto"/>
      </w:pPr>
      <w:r>
        <w:rPr>
          <w:rFonts w:ascii="Arial" w:hAnsi="Arial"/>
          <w:color w:val="444444"/>
          <w:sz w:val="20"/>
        </w:rPr>
        <w:t>Work already delivered, reserved places, trainer time, venue costs and bespoke preparation may be non-refundable or partly refundable.</w:t>
      </w:r>
    </w:p>
    <w:p>
      <w:pPr>
        <w:pStyle w:val="ListBullet"/>
        <w:spacing w:after="60" w:line="252" w:lineRule="auto"/>
      </w:pPr>
      <w:r>
        <w:rPr>
          <w:rFonts w:ascii="Arial" w:hAnsi="Arial"/>
          <w:color w:val="444444"/>
          <w:sz w:val="20"/>
        </w:rPr>
        <w:t>Refunds, transfers and goodwill decisions must be recorded consistently.</w:t>
      </w:r>
    </w:p>
    <w:p>
      <w:pPr>
        <w:pStyle w:val="Heading1"/>
      </w:pPr>
      <w:r>
        <w:t>4. Key risks and controls</w:t>
      </w:r>
    </w:p>
    <w:p>
      <w:pPr>
        <w:pStyle w:val="ListBullet"/>
        <w:spacing w:after="60" w:line="252" w:lineRule="auto"/>
      </w:pPr>
      <w:r>
        <w:rPr>
          <w:rFonts w:ascii="Arial" w:hAnsi="Arial"/>
          <w:color w:val="444444"/>
          <w:sz w:val="20"/>
        </w:rPr>
        <w:t>Legal risk: poor cancellation information can extend consumer cancellation rights.</w:t>
      </w:r>
    </w:p>
    <w:p>
      <w:pPr>
        <w:pStyle w:val="ListBullet"/>
        <w:spacing w:after="60" w:line="252" w:lineRule="auto"/>
      </w:pPr>
      <w:r>
        <w:rPr>
          <w:rFonts w:ascii="Arial" w:hAnsi="Arial"/>
          <w:color w:val="444444"/>
          <w:sz w:val="20"/>
        </w:rPr>
        <w:t>Chargeback risk: unclear wording may lead to disputes with banks or payment processors.</w:t>
      </w:r>
    </w:p>
    <w:p>
      <w:pPr>
        <w:pStyle w:val="ListBullet"/>
        <w:spacing w:after="60" w:line="252" w:lineRule="auto"/>
      </w:pPr>
      <w:r>
        <w:rPr>
          <w:rFonts w:ascii="Arial" w:hAnsi="Arial"/>
          <w:color w:val="444444"/>
          <w:sz w:val="20"/>
        </w:rPr>
        <w:t>Operational risk: late cancellations waste trainer capacity and venue costs.</w:t>
      </w:r>
    </w:p>
    <w:p>
      <w:pPr>
        <w:pStyle w:val="ListBullet"/>
        <w:spacing w:after="60" w:line="252" w:lineRule="auto"/>
      </w:pPr>
      <w:r>
        <w:rPr>
          <w:rFonts w:ascii="Arial" w:hAnsi="Arial"/>
          <w:color w:val="444444"/>
          <w:sz w:val="20"/>
        </w:rPr>
        <w:t>Fairness risk: inconsistent goodwill decisions may create expectations.</w:t>
      </w:r>
    </w:p>
    <w:p>
      <w:pPr>
        <w:pStyle w:val="ListBullet"/>
        <w:spacing w:after="60" w:line="252" w:lineRule="auto"/>
      </w:pPr>
      <w:r>
        <w:rPr>
          <w:rFonts w:ascii="Arial" w:hAnsi="Arial"/>
          <w:color w:val="444444"/>
          <w:sz w:val="20"/>
        </w:rPr>
        <w:t>Digital access risk: learners may complete or download content then request a refund.</w:t>
      </w:r>
    </w:p>
    <w:p>
      <w:pPr>
        <w:pStyle w:val="Heading1"/>
      </w:pPr>
      <w:r>
        <w:t>5. Roles and responsibilities</w:t>
      </w:r>
    </w:p>
    <w:tbl>
      <w:tblPr>
        <w:tblStyle w:val="TableGrid"/>
        <w:tblW w:type="auto" w:w="0"/>
        <w:jc w:val="center"/>
        <w:tblLook w:firstColumn="1" w:firstRow="1" w:lastColumn="0" w:lastRow="0" w:noHBand="0" w:noVBand="1" w:val="04A0"/>
      </w:tblPr>
      <w:tblGrid>
        <w:gridCol w:w="5040"/>
        <w:gridCol w:w="5040"/>
      </w:tblGrid>
      <w:tr>
        <w:tc>
          <w:tcPr>
            <w:tcW w:type="dxa" w:w="5040"/>
            <w:shd w:fill="142644"/>
          </w:tcPr>
          <w:p>
            <w:r/>
            <w:r>
              <w:rPr>
                <w:rFonts w:ascii="Arial" w:hAnsi="Arial"/>
                <w:b/>
                <w:color w:val="FFFFFF"/>
                <w:sz w:val="18"/>
              </w:rPr>
              <w:t>Role</w:t>
            </w:r>
          </w:p>
        </w:tc>
        <w:tc>
          <w:tcPr>
            <w:tcW w:type="dxa" w:w="5040"/>
            <w:shd w:fill="142644"/>
          </w:tcPr>
          <w:p>
            <w:r/>
            <w:r>
              <w:rPr>
                <w:rFonts w:ascii="Arial" w:hAnsi="Arial"/>
                <w:b/>
                <w:color w:val="FFFFFF"/>
                <w:sz w:val="18"/>
              </w:rPr>
              <w:t>Responsibility</w:t>
            </w:r>
          </w:p>
        </w:tc>
      </w:tr>
      <w:tr>
        <w:tc>
          <w:tcPr>
            <w:tcW w:type="dxa" w:w="5040"/>
          </w:tcPr>
          <w:p>
            <w:r/>
            <w:r>
              <w:rPr>
                <w:rFonts w:ascii="Arial" w:hAnsi="Arial"/>
                <w:b/>
                <w:sz w:val="17"/>
              </w:rPr>
              <w:t>Brandso Group Director</w:t>
            </w:r>
          </w:p>
        </w:tc>
        <w:tc>
          <w:tcPr>
            <w:tcW w:type="dxa" w:w="5040"/>
          </w:tcPr>
          <w:p>
            <w:r/>
            <w:r>
              <w:rPr>
                <w:rFonts w:ascii="Arial" w:hAnsi="Arial"/>
                <w:b w:val="0"/>
                <w:sz w:val="17"/>
              </w:rPr>
              <w:t>Approves the training governance framework, sets risk appetite and ensures ProCare Hub operates within Brandso Group standards.</w:t>
            </w:r>
          </w:p>
        </w:tc>
      </w:tr>
      <w:tr>
        <w:tc>
          <w:tcPr>
            <w:tcW w:type="dxa" w:w="5040"/>
          </w:tcPr>
          <w:p>
            <w:r/>
            <w:r>
              <w:rPr>
                <w:rFonts w:ascii="Arial" w:hAnsi="Arial"/>
                <w:b/>
                <w:sz w:val="17"/>
              </w:rPr>
              <w:t>ProCare Hub Service Lead</w:t>
            </w:r>
          </w:p>
        </w:tc>
        <w:tc>
          <w:tcPr>
            <w:tcW w:type="dxa" w:w="5040"/>
          </w:tcPr>
          <w:p>
            <w:r/>
            <w:r>
              <w:rPr>
                <w:rFonts w:ascii="Arial" w:hAnsi="Arial"/>
                <w:b w:val="0"/>
                <w:sz w:val="17"/>
              </w:rPr>
              <w:t>Owns course delivery, learner experience, trainer allocation, quality checks, complaints, certificates and escalation.</w:t>
            </w:r>
          </w:p>
        </w:tc>
      </w:tr>
      <w:tr>
        <w:tc>
          <w:tcPr>
            <w:tcW w:type="dxa" w:w="5040"/>
          </w:tcPr>
          <w:p>
            <w:r/>
            <w:r>
              <w:rPr>
                <w:rFonts w:ascii="Arial" w:hAnsi="Arial"/>
                <w:b/>
                <w:sz w:val="17"/>
              </w:rPr>
              <w:t>Trainer / Assessor</w:t>
            </w:r>
          </w:p>
        </w:tc>
        <w:tc>
          <w:tcPr>
            <w:tcW w:type="dxa" w:w="5040"/>
          </w:tcPr>
          <w:p>
            <w:r/>
            <w:r>
              <w:rPr>
                <w:rFonts w:ascii="Arial" w:hAnsi="Arial"/>
                <w:b w:val="0"/>
                <w:sz w:val="17"/>
              </w:rPr>
              <w:t>Delivers training competently, marks assessments fairly, keeps records and reports safeguarding, malpractice, quality or conduct concerns.</w:t>
            </w:r>
          </w:p>
        </w:tc>
      </w:tr>
      <w:tr>
        <w:tc>
          <w:tcPr>
            <w:tcW w:type="dxa" w:w="5040"/>
          </w:tcPr>
          <w:p>
            <w:r/>
            <w:r>
              <w:rPr>
                <w:rFonts w:ascii="Arial" w:hAnsi="Arial"/>
                <w:b/>
                <w:sz w:val="17"/>
              </w:rPr>
              <w:t>Administrator / Support Team</w:t>
            </w:r>
          </w:p>
        </w:tc>
        <w:tc>
          <w:tcPr>
            <w:tcW w:type="dxa" w:w="5040"/>
          </w:tcPr>
          <w:p>
            <w:r/>
            <w:r>
              <w:rPr>
                <w:rFonts w:ascii="Arial" w:hAnsi="Arial"/>
                <w:b w:val="0"/>
                <w:sz w:val="17"/>
              </w:rPr>
              <w:t>Manages bookings, learner access, attendance records, certificates, enquiries, invoices and data updates.</w:t>
            </w:r>
          </w:p>
        </w:tc>
      </w:tr>
      <w:tr>
        <w:tc>
          <w:tcPr>
            <w:tcW w:type="dxa" w:w="5040"/>
          </w:tcPr>
          <w:p>
            <w:r/>
            <w:r>
              <w:rPr>
                <w:rFonts w:ascii="Arial" w:hAnsi="Arial"/>
                <w:b/>
                <w:sz w:val="17"/>
              </w:rPr>
              <w:t>Learner / Employer Client</w:t>
            </w:r>
          </w:p>
        </w:tc>
        <w:tc>
          <w:tcPr>
            <w:tcW w:type="dxa" w:w="5040"/>
          </w:tcPr>
          <w:p>
            <w:r/>
            <w:r>
              <w:rPr>
                <w:rFonts w:ascii="Arial" w:hAnsi="Arial"/>
                <w:b w:val="0"/>
                <w:sz w:val="17"/>
              </w:rPr>
              <w:t>Provides accurate information, follows joining instructions, participates honestly, raises support needs early and complies with course rules.</w:t>
            </w:r>
          </w:p>
        </w:tc>
      </w:tr>
      <w:tr>
        <w:tc>
          <w:tcPr>
            <w:tcW w:type="dxa" w:w="5040"/>
          </w:tcPr>
          <w:p>
            <w:r/>
            <w:r>
              <w:rPr>
                <w:rFonts w:ascii="Arial" w:hAnsi="Arial"/>
                <w:b/>
                <w:sz w:val="17"/>
              </w:rPr>
              <w:t>Data Protection Lead</w:t>
            </w:r>
          </w:p>
        </w:tc>
        <w:tc>
          <w:tcPr>
            <w:tcW w:type="dxa" w:w="5040"/>
          </w:tcPr>
          <w:p>
            <w:r/>
            <w:r>
              <w:rPr>
                <w:rFonts w:ascii="Arial" w:hAnsi="Arial"/>
                <w:b w:val="0"/>
                <w:sz w:val="17"/>
              </w:rPr>
              <w:t>Advises on learner records, retention, privacy notices, data sharing, security and breach escalation.</w:t>
            </w:r>
          </w:p>
        </w:tc>
      </w:tr>
    </w:tbl>
    <w:p/>
    <w:p>
      <w:pPr>
        <w:pStyle w:val="Heading1"/>
      </w:pPr>
      <w:r>
        <w:t>6. Procedure</w:t>
      </w:r>
    </w:p>
    <w:p>
      <w:pPr>
        <w:pStyle w:val="Heading2"/>
      </w:pPr>
      <w:r>
        <w:t>Refund categories</w:t>
      </w:r>
    </w:p>
    <w:p>
      <w:pPr>
        <w:pStyle w:val="ListBullet"/>
        <w:spacing w:after="60" w:line="252" w:lineRule="auto"/>
      </w:pPr>
      <w:r>
        <w:rPr>
          <w:rFonts w:ascii="Arial" w:hAnsi="Arial"/>
          <w:color w:val="444444"/>
          <w:sz w:val="20"/>
        </w:rPr>
        <w:t>Full refund may be considered where ProCare Hub cancels and cannot offer a suitable alternative, or where required by law.</w:t>
      </w:r>
    </w:p>
    <w:p>
      <w:pPr>
        <w:pStyle w:val="ListBullet"/>
        <w:spacing w:after="60" w:line="252" w:lineRule="auto"/>
      </w:pPr>
      <w:r>
        <w:rPr>
          <w:rFonts w:ascii="Arial" w:hAnsi="Arial"/>
          <w:color w:val="444444"/>
          <w:sz w:val="20"/>
        </w:rPr>
        <w:t>Partial refund may be considered where some services have been delivered, reasonable costs have been incurred or a place has been reserved.</w:t>
      </w:r>
    </w:p>
    <w:p>
      <w:pPr>
        <w:pStyle w:val="ListBullet"/>
        <w:spacing w:after="60" w:line="252" w:lineRule="auto"/>
      </w:pPr>
      <w:r>
        <w:rPr>
          <w:rFonts w:ascii="Arial" w:hAnsi="Arial"/>
          <w:color w:val="444444"/>
          <w:sz w:val="20"/>
        </w:rPr>
        <w:t>No refund may apply where the learner has completed the course, accessed digital content after being told cancellation rights may be affected, failed to attend without valid reason, breached conduct rules or cancelled outside the permitted period.</w:t>
      </w:r>
    </w:p>
    <w:p>
      <w:pPr>
        <w:pStyle w:val="Heading2"/>
      </w:pPr>
      <w:r>
        <w:t>Transfers and substitutions</w:t>
      </w:r>
    </w:p>
    <w:p>
      <w:pPr>
        <w:spacing w:after="120" w:line="259" w:lineRule="auto"/>
      </w:pPr>
      <w:r>
        <w:rPr>
          <w:rFonts w:ascii="Arial" w:hAnsi="Arial"/>
          <w:color w:val="444444"/>
          <w:sz w:val="20"/>
        </w:rPr>
        <w:t xml:space="preserve">At </w:t>
      </w:r>
      <w:r>
        <w:rPr>
          <w:rFonts w:ascii="Arial" w:hAnsi="Arial"/>
          <w:b/>
          <w:color w:val="444444"/>
          <w:sz w:val="20"/>
        </w:rPr>
        <w:t>ProCare Hub</w:t>
      </w:r>
      <w:r>
        <w:rPr>
          <w:rFonts w:ascii="Arial" w:hAnsi="Arial"/>
          <w:color w:val="444444"/>
          <w:sz w:val="20"/>
        </w:rPr>
        <w:t xml:space="preserve">’s discretion, a </w:t>
      </w:r>
      <w:r>
        <w:rPr>
          <w:rFonts w:ascii="Arial" w:hAnsi="Arial"/>
          <w:b/>
          <w:color w:val="444444"/>
          <w:sz w:val="20"/>
        </w:rPr>
        <w:t>learner</w:t>
      </w:r>
      <w:r>
        <w:rPr>
          <w:rFonts w:ascii="Arial" w:hAnsi="Arial"/>
          <w:color w:val="444444"/>
          <w:sz w:val="20"/>
        </w:rPr>
        <w:t xml:space="preserve"> may transfer to another date or substitute another </w:t>
      </w:r>
      <w:r>
        <w:rPr>
          <w:rFonts w:ascii="Arial" w:hAnsi="Arial"/>
          <w:b/>
          <w:color w:val="444444"/>
          <w:sz w:val="20"/>
        </w:rPr>
        <w:t>learner</w:t>
      </w:r>
      <w:r>
        <w:rPr>
          <w:rFonts w:ascii="Arial" w:hAnsi="Arial"/>
          <w:color w:val="444444"/>
          <w:sz w:val="20"/>
        </w:rPr>
        <w:t xml:space="preserve"> if requested within the stated timescale, the </w:t>
      </w:r>
      <w:r>
        <w:rPr>
          <w:rFonts w:ascii="Arial" w:hAnsi="Arial"/>
          <w:b/>
          <w:color w:val="444444"/>
          <w:sz w:val="20"/>
        </w:rPr>
        <w:t>course</w:t>
      </w:r>
      <w:r>
        <w:rPr>
          <w:rFonts w:ascii="Arial" w:hAnsi="Arial"/>
          <w:color w:val="444444"/>
          <w:sz w:val="20"/>
        </w:rPr>
        <w:t xml:space="preserve"> has not been completed and any </w:t>
      </w:r>
      <w:r>
        <w:rPr>
          <w:rFonts w:ascii="Arial" w:hAnsi="Arial"/>
          <w:b/>
          <w:color w:val="444444"/>
          <w:sz w:val="20"/>
        </w:rPr>
        <w:t>employer</w:t>
      </w:r>
      <w:r>
        <w:rPr>
          <w:rFonts w:ascii="Arial" w:hAnsi="Arial"/>
          <w:color w:val="444444"/>
          <w:sz w:val="20"/>
        </w:rPr>
        <w:t>/client requirements are satisfied.</w:t>
      </w:r>
    </w:p>
    <w:p>
      <w:pPr>
        <w:pStyle w:val="Heading2"/>
      </w:pPr>
      <w:r>
        <w:t>Employer cancellations</w:t>
      </w:r>
    </w:p>
    <w:p>
      <w:pPr>
        <w:spacing w:after="120" w:line="259" w:lineRule="auto"/>
      </w:pPr>
      <w:r>
        <w:rPr>
          <w:rFonts w:ascii="Arial" w:hAnsi="Arial"/>
          <w:color w:val="444444"/>
          <w:sz w:val="20"/>
        </w:rPr>
      </w:r>
      <w:r>
        <w:rPr>
          <w:rFonts w:ascii="Arial" w:hAnsi="Arial"/>
          <w:b/>
          <w:color w:val="444444"/>
          <w:sz w:val="20"/>
        </w:rPr>
        <w:t>Employer</w:t>
      </w:r>
      <w:r>
        <w:rPr>
          <w:rFonts w:ascii="Arial" w:hAnsi="Arial"/>
          <w:color w:val="444444"/>
          <w:sz w:val="20"/>
        </w:rPr>
        <w:t xml:space="preserve"> clients should cancel in writing. Late cancellation may attract charges where trainer time, venue costs, materials, platform access or administrative work has been committed.</w:t>
      </w:r>
    </w:p>
    <w:p>
      <w:pPr>
        <w:pStyle w:val="Heading2"/>
      </w:pPr>
      <w:r>
        <w:t>Bespoke training cancellations</w:t>
      </w:r>
    </w:p>
    <w:p>
      <w:pPr>
        <w:spacing w:after="120" w:line="259" w:lineRule="auto"/>
      </w:pPr>
      <w:r>
        <w:rPr>
          <w:rFonts w:ascii="Arial" w:hAnsi="Arial"/>
          <w:color w:val="444444"/>
          <w:sz w:val="20"/>
        </w:rPr>
        <w:t xml:space="preserve">Bespoke </w:t>
      </w:r>
      <w:r>
        <w:rPr>
          <w:rFonts w:ascii="Arial" w:hAnsi="Arial"/>
          <w:b/>
          <w:color w:val="444444"/>
          <w:sz w:val="20"/>
        </w:rPr>
        <w:t>course</w:t>
      </w:r>
      <w:r>
        <w:rPr>
          <w:rFonts w:ascii="Arial" w:hAnsi="Arial"/>
          <w:color w:val="444444"/>
          <w:sz w:val="20"/>
        </w:rPr>
        <w:t xml:space="preserve"> development, preparation, travel, venue booking, trainer allocation and customised materials may be chargeable even if the final session is cancelled.</w:t>
      </w:r>
    </w:p>
    <w:p>
      <w:pPr>
        <w:pStyle w:val="Heading2"/>
      </w:pPr>
      <w:r>
        <w:t>Refund approval and payment</w:t>
      </w:r>
    </w:p>
    <w:p>
      <w:pPr>
        <w:spacing w:after="120" w:line="259" w:lineRule="auto"/>
      </w:pPr>
      <w:r>
        <w:rPr>
          <w:rFonts w:ascii="Arial" w:hAnsi="Arial"/>
          <w:color w:val="444444"/>
          <w:sz w:val="20"/>
        </w:rPr>
        <w:t>Refunds must be approved under the finance controls. Refunds should normally be made using the original payment method unless there is a legitimate reason to use another route. Refund decisions and reasons must be recorded.</w:t>
      </w:r>
    </w:p>
    <w:p>
      <w:pPr>
        <w:pStyle w:val="Heading1"/>
      </w:pPr>
      <w:r>
        <w:t>7. Required records and evidence</w:t>
      </w:r>
    </w:p>
    <w:p>
      <w:pPr>
        <w:pStyle w:val="ListBullet"/>
        <w:spacing w:after="60" w:line="252" w:lineRule="auto"/>
      </w:pPr>
      <w:r>
        <w:rPr>
          <w:rFonts w:ascii="Arial" w:hAnsi="Arial"/>
          <w:color w:val="444444"/>
          <w:sz w:val="20"/>
        </w:rPr>
        <w:t>Order or booking record</w:t>
      </w:r>
    </w:p>
    <w:p>
      <w:pPr>
        <w:pStyle w:val="ListBullet"/>
        <w:spacing w:after="60" w:line="252" w:lineRule="auto"/>
      </w:pPr>
      <w:r>
        <w:rPr>
          <w:rFonts w:ascii="Arial" w:hAnsi="Arial"/>
          <w:color w:val="444444"/>
          <w:sz w:val="20"/>
        </w:rPr>
        <w:t>Refund request</w:t>
      </w:r>
    </w:p>
    <w:p>
      <w:pPr>
        <w:pStyle w:val="ListBullet"/>
        <w:spacing w:after="60" w:line="252" w:lineRule="auto"/>
      </w:pPr>
      <w:r>
        <w:rPr>
          <w:rFonts w:ascii="Arial" w:hAnsi="Arial"/>
          <w:color w:val="444444"/>
          <w:sz w:val="20"/>
        </w:rPr>
        <w:t>Access and completion logs</w:t>
      </w:r>
    </w:p>
    <w:p>
      <w:pPr>
        <w:pStyle w:val="ListBullet"/>
        <w:spacing w:after="60" w:line="252" w:lineRule="auto"/>
      </w:pPr>
      <w:r>
        <w:rPr>
          <w:rFonts w:ascii="Arial" w:hAnsi="Arial"/>
          <w:color w:val="444444"/>
          <w:sz w:val="20"/>
        </w:rPr>
        <w:t>Cancellation date and reason</w:t>
      </w:r>
    </w:p>
    <w:p>
      <w:pPr>
        <w:pStyle w:val="ListBullet"/>
        <w:spacing w:after="60" w:line="252" w:lineRule="auto"/>
      </w:pPr>
      <w:r>
        <w:rPr>
          <w:rFonts w:ascii="Arial" w:hAnsi="Arial"/>
          <w:color w:val="444444"/>
          <w:sz w:val="20"/>
        </w:rPr>
        <w:t>Costs incurred</w:t>
      </w:r>
    </w:p>
    <w:p>
      <w:pPr>
        <w:pStyle w:val="ListBullet"/>
        <w:spacing w:after="60" w:line="252" w:lineRule="auto"/>
      </w:pPr>
      <w:r>
        <w:rPr>
          <w:rFonts w:ascii="Arial" w:hAnsi="Arial"/>
          <w:color w:val="444444"/>
          <w:sz w:val="20"/>
        </w:rPr>
        <w:t>Approval record</w:t>
      </w:r>
    </w:p>
    <w:p>
      <w:pPr>
        <w:pStyle w:val="ListBullet"/>
        <w:spacing w:after="60" w:line="252" w:lineRule="auto"/>
      </w:pPr>
      <w:r>
        <w:rPr>
          <w:rFonts w:ascii="Arial" w:hAnsi="Arial"/>
          <w:color w:val="444444"/>
          <w:sz w:val="20"/>
        </w:rPr>
        <w:t>Credit note/refund transaction</w:t>
      </w:r>
    </w:p>
    <w:p>
      <w:pPr>
        <w:pStyle w:val="ListBullet"/>
        <w:spacing w:after="60" w:line="252" w:lineRule="auto"/>
      </w:pPr>
      <w:r>
        <w:rPr>
          <w:rFonts w:ascii="Arial" w:hAnsi="Arial"/>
          <w:color w:val="444444"/>
          <w:sz w:val="20"/>
        </w:rPr>
        <w:t>Customer communication</w:t>
      </w:r>
    </w:p>
    <w:p>
      <w:pPr>
        <w:pStyle w:val="Heading1"/>
      </w:pPr>
      <w:r>
        <w:t>8. Monitoring, review and improvement</w:t>
      </w:r>
    </w:p>
    <w:p>
      <w:pPr>
        <w:spacing w:after="120" w:line="259" w:lineRule="auto"/>
      </w:pPr>
      <w:r>
        <w:rPr>
          <w:rFonts w:ascii="Arial" w:hAnsi="Arial"/>
          <w:color w:val="444444"/>
          <w:sz w:val="20"/>
        </w:rPr>
        <w:t xml:space="preserve">Refund patterns, complaints and chargebacks will be reviewed to improve </w:t>
      </w:r>
      <w:r>
        <w:rPr>
          <w:rFonts w:ascii="Arial" w:hAnsi="Arial"/>
          <w:b/>
          <w:color w:val="444444"/>
          <w:sz w:val="20"/>
        </w:rPr>
        <w:t>course</w:t>
      </w:r>
      <w:r>
        <w:rPr>
          <w:rFonts w:ascii="Arial" w:hAnsi="Arial"/>
          <w:color w:val="444444"/>
          <w:sz w:val="20"/>
        </w:rPr>
        <w:t xml:space="preserve"> descriptions, checkout wording, joining instructions and cancellation information.</w:t>
      </w:r>
    </w:p>
    <w:p>
      <w:pPr>
        <w:pStyle w:val="Heading1"/>
      </w:pPr>
      <w:r>
        <w:t>9. Related documents</w:t>
      </w:r>
    </w:p>
    <w:p>
      <w:pPr>
        <w:pStyle w:val="ListBullet"/>
        <w:spacing w:after="60" w:line="252" w:lineRule="auto"/>
      </w:pPr>
      <w:r>
        <w:rPr>
          <w:rFonts w:ascii="Arial" w:hAnsi="Arial"/>
          <w:color w:val="444444"/>
          <w:sz w:val="20"/>
        </w:rPr>
        <w:t>Brandso Group Terms of Service</w:t>
      </w:r>
    </w:p>
    <w:p>
      <w:pPr>
        <w:pStyle w:val="ListBullet"/>
        <w:spacing w:after="60" w:line="252" w:lineRule="auto"/>
      </w:pPr>
      <w:r>
        <w:rPr>
          <w:rFonts w:ascii="Arial" w:hAnsi="Arial"/>
          <w:color w:val="444444"/>
          <w:sz w:val="20"/>
        </w:rPr>
        <w:t>Brandso Group Privacy Policy</w:t>
      </w:r>
    </w:p>
    <w:p>
      <w:pPr>
        <w:pStyle w:val="ListBullet"/>
        <w:spacing w:after="60" w:line="252" w:lineRule="auto"/>
      </w:pPr>
      <w:r>
        <w:rPr>
          <w:rFonts w:ascii="Arial" w:hAnsi="Arial"/>
          <w:color w:val="444444"/>
          <w:sz w:val="20"/>
        </w:rPr>
        <w:t>Data Protection Policy</w:t>
      </w:r>
    </w:p>
    <w:p>
      <w:pPr>
        <w:pStyle w:val="ListBullet"/>
        <w:spacing w:after="60" w:line="252" w:lineRule="auto"/>
      </w:pPr>
      <w:r>
        <w:rPr>
          <w:rFonts w:ascii="Arial" w:hAnsi="Arial"/>
          <w:color w:val="444444"/>
          <w:sz w:val="20"/>
        </w:rPr>
        <w:t>Customer Service and Complaints Policy</w:t>
      </w:r>
    </w:p>
    <w:p>
      <w:pPr>
        <w:pStyle w:val="ListBullet"/>
        <w:spacing w:after="60" w:line="252" w:lineRule="auto"/>
      </w:pPr>
      <w:r>
        <w:rPr>
          <w:rFonts w:ascii="Arial" w:hAnsi="Arial"/>
          <w:color w:val="444444"/>
          <w:sz w:val="20"/>
        </w:rPr>
        <w:t>Refund and Cancellation Policy</w:t>
      </w:r>
    </w:p>
    <w:p>
      <w:pPr>
        <w:pStyle w:val="ListBullet"/>
        <w:spacing w:after="60" w:line="252" w:lineRule="auto"/>
      </w:pPr>
      <w:r>
        <w:rPr>
          <w:rFonts w:ascii="Arial" w:hAnsi="Arial"/>
          <w:color w:val="444444"/>
          <w:sz w:val="20"/>
        </w:rPr>
        <w:t>Safeguarding Concern Escalation Policy</w:t>
      </w:r>
    </w:p>
    <w:p>
      <w:pPr>
        <w:pStyle w:val="ListBullet"/>
        <w:spacing w:after="60" w:line="252" w:lineRule="auto"/>
      </w:pPr>
      <w:r>
        <w:rPr>
          <w:rFonts w:ascii="Arial" w:hAnsi="Arial"/>
          <w:color w:val="444444"/>
          <w:sz w:val="20"/>
        </w:rPr>
        <w:t>Document Control Policy</w:t>
      </w:r>
    </w:p>
    <w:p>
      <w:pPr>
        <w:pStyle w:val="Heading1"/>
      </w:pPr>
      <w:r>
        <w:t>10. Approval and version control</w:t>
      </w:r>
    </w:p>
    <w:p>
      <w:pPr>
        <w:spacing w:after="120" w:line="259" w:lineRule="auto"/>
      </w:pPr>
      <w:r>
        <w:rPr>
          <w:rFonts w:ascii="Arial" w:hAnsi="Arial"/>
          <w:color w:val="444444"/>
          <w:sz w:val="20"/>
        </w:rPr>
        <w:t>Approved by Simeon Ologeh on 10/06/2026. Version 1.0. The controlled copy is held by Brandso Group Limited.</w:t>
      </w:r>
    </w:p>
    <w:sectPr w:rsidR="00FC693F" w:rsidRPr="0006063C" w:rsidSect="00034616">
      <w:headerReference w:type="default" r:id="rId9"/>
      <w:footerReference w:type="default" r:id="rId10"/>
      <w:pgSz w:w="12240" w:h="15840"/>
      <w:pgMar w:top="1037" w:right="1080" w:bottom="936" w:left="1080" w:header="403"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444444"/>
        <w:sz w:val="16"/>
      </w:rPr>
      <w:t xml:space="preserve">Brandso Group Limited | Company No. 15970239 | Approved: 10/06/2026 | Page </w:t>
    </w:r>
    <w:r>
      <w:fldChar w:fldCharType="begin"/>
      <w:instrText xml:space="preserve">PAGE</w:instrText>
      <w:fldChar w:fldCharType="end"/>
    </w:r>
    <w:r>
      <w:rPr>
        <w:rFonts w:ascii="Arial" w:hAnsi="Arial"/>
        <w:color w:val="444444"/>
        <w:sz w:val="16"/>
      </w:rPr>
      <w:t xml:space="preserve"> of </w:t>
    </w:r>
    <w: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drawing>
        <wp:inline xmlns:a="http://schemas.openxmlformats.org/drawingml/2006/main" xmlns:pic="http://schemas.openxmlformats.org/drawingml/2006/picture">
          <wp:extent cx="1417320" cy="439252"/>
          <wp:docPr id="1" name="Picture 1"/>
          <wp:cNvGraphicFramePr>
            <a:graphicFrameLocks noChangeAspect="1"/>
          </wp:cNvGraphicFramePr>
          <a:graphic>
            <a:graphicData uri="http://schemas.openxmlformats.org/drawingml/2006/picture">
              <pic:pic>
                <pic:nvPicPr>
                  <pic:cNvPr id="0" name="Screenshot 2026-06-06 103125.png"/>
                  <pic:cNvPicPr/>
                </pic:nvPicPr>
                <pic:blipFill>
                  <a:blip r:embed="rId1"/>
                  <a:stretch>
                    <a:fillRect/>
                  </a:stretch>
                </pic:blipFill>
                <pic:spPr>
                  <a:xfrm>
                    <a:off x="0" y="0"/>
                    <a:ext cx="1417320" cy="439252"/>
                  </a:xfrm>
                  <a:prstGeom prst="rect"/>
                </pic:spPr>
              </pic:pic>
            </a:graphicData>
          </a:graphic>
        </wp:inline>
      </w:drawing>
    </w:r>
    <w:r>
      <w:rPr>
        <w:rFonts w:ascii="Arial" w:hAnsi="Arial"/>
        <w:color w:val="444444"/>
        <w:sz w:val="16"/>
      </w:rPr>
      <w:t xml:space="preserve">   ProCare Hub Service Documents | ProCare Hub Refund and Cancellation Policy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Black" w:hAnsi="Arial Black" w:eastAsia="Arial Black"/>
      <w:b/>
      <w:bCs/>
      <w:color w:val="00594C"/>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42644"/>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F27F02"/>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Black" w:hAnsi="Arial Black" w:eastAsia="Arial Black"/>
      <w:b/>
      <w:color w:val="142644"/>
      <w:spacing w:val="5"/>
      <w:kern w:val="28"/>
      <w:sz w:val="4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20"/>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