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Training Quality Assurance Policy</w:t>
      </w:r>
    </w:p>
    <w:p>
      <w:r>
        <w:rPr>
          <w:rFonts w:ascii="Arial" w:hAnsi="Arial"/>
          <w:color w:val="444444"/>
          <w:sz w:val="24"/>
        </w:rPr>
        <w:t>Course quality, trainer monitoring, assessment sampling and improvement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Training Quality Assurance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sets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’s approach to maintaining and improving the quality, accuracy, safety and consistency of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content, delivery,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support and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>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design and review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approval and observation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quality and appeals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feedback and complaints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quality, records and audits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client feedback and service improvement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Courses must be reviewed regularly for accuracy, relevance and suitability.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performance must be monitored and supported.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Feedback and complaints must lead to learning and improvement.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and certificate processes must be sampled for integrity.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Quality assurance must be evidence-based and proportionate to risk.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Outdated content risk: legal, regulatory or practice guidance may change.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Delivery inconsistency risk: different trainers may present different standards.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risk: poor questions or weak marking may undermine certificates.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Client reliance risk: care providers may rely on training as compliance evidence.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Record risk: poor evidence affects audits, complaints and certificate verification.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Course approval and review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Each course should have a course outline, intended audience, learning outcomes, delivery method, assessment approach if applicable and review date.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High-risk care topics should be reviewed following significant legal, regulatory, safeguarding or practice change.</w:t>
      </w:r>
    </w:p>
    <w:p>
      <w:pPr>
        <w:pStyle w:val="Heading2"/>
      </w:pPr>
      <w:r>
        <w:t>Trainer approval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should be approved based on relevant experience, subject knowledge, delivery skills,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awareness and ability to follow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standards.</w:t>
      </w:r>
    </w:p>
    <w:p>
      <w:pPr>
        <w:pStyle w:val="Heading2"/>
      </w:pPr>
      <w:r>
        <w:t>Quality monitoring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Use learner feedback, employer feedback, trainer self-review, complaints, attendance data, assessment results and certificate checks.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Observe or review trainer delivery periodically, especially for new trainers or high-risk courses.</w:t>
      </w:r>
    </w:p>
    <w:p>
      <w:pPr>
        <w:pStyle w:val="Heading2"/>
      </w:pPr>
      <w:r>
        <w:t>Content changes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Course changes must be controlled through document version control. Trainers must be told which version to use. Outdated materials should be withdrawn from active use.</w:t>
      </w:r>
    </w:p>
    <w:p>
      <w:pPr>
        <w:pStyle w:val="Heading2"/>
      </w:pPr>
      <w:r>
        <w:t>Improvement action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Quality issues should be logged, assigned to an owner, given a deadline and reviewed for completion. Serious issues should be escalated to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leadership.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outline and version history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approval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Observation reports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Feedback summaries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sampling records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audit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Quality action plan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Annual quality review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Service Lead will complete periodic quality reviews and report key risks, actions,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feedback and improvement priorities to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management.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Training Quality Assurance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